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rFonts w:ascii="Peralta" w:cs="Peralta" w:eastAsia="Peralta" w:hAnsi="Peralt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990600</wp:posOffset>
            </wp:positionH>
            <wp:positionV relativeFrom="paragraph">
              <wp:posOffset>0</wp:posOffset>
            </wp:positionV>
            <wp:extent cx="1247775" cy="1126808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268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ind w:left="1440" w:firstLine="720"/>
        <w:contextualSpacing w:val="0"/>
        <w:jc w:val="center"/>
        <w:rPr>
          <w:rFonts w:ascii="Peralta" w:cs="Peralta" w:eastAsia="Peralta" w:hAnsi="Peralta"/>
          <w:sz w:val="48"/>
          <w:szCs w:val="48"/>
        </w:rPr>
      </w:pPr>
      <w:r w:rsidDel="00000000" w:rsidR="00000000" w:rsidRPr="00000000">
        <w:rPr>
          <w:rFonts w:ascii="Peralta" w:cs="Peralta" w:eastAsia="Peralta" w:hAnsi="Peralta"/>
          <w:sz w:val="48"/>
          <w:szCs w:val="48"/>
          <w:rtl w:val="0"/>
        </w:rPr>
        <w:t xml:space="preserve">New Brockton Elementary School</w:t>
      </w:r>
    </w:p>
    <w:p w:rsidR="00000000" w:rsidDel="00000000" w:rsidP="00000000" w:rsidRDefault="00000000" w:rsidRPr="00000000">
      <w:pPr>
        <w:ind w:left="1440" w:firstLine="720"/>
        <w:contextualSpacing w:val="0"/>
        <w:jc w:val="center"/>
        <w:rPr>
          <w:rFonts w:ascii="Andika" w:cs="Andika" w:eastAsia="Andika" w:hAnsi="Andika"/>
          <w:sz w:val="36"/>
          <w:szCs w:val="36"/>
        </w:rPr>
      </w:pPr>
      <w:r w:rsidDel="00000000" w:rsidR="00000000" w:rsidRPr="00000000">
        <w:rPr>
          <w:rFonts w:ascii="Andika" w:cs="Andika" w:eastAsia="Andika" w:hAnsi="Andika"/>
          <w:sz w:val="36"/>
          <w:szCs w:val="36"/>
          <w:rtl w:val="0"/>
        </w:rPr>
        <w:t xml:space="preserve">2017/2018 Annual Continuous Improvement Plan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  <w:rPr>
          <w:rFonts w:ascii="Andika" w:cs="Andika" w:eastAsia="Andika" w:hAnsi="Andika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75"/>
        <w:gridCol w:w="255"/>
        <w:gridCol w:w="7425"/>
        <w:tblGridChange w:id="0">
          <w:tblGrid>
            <w:gridCol w:w="7575"/>
            <w:gridCol w:w="255"/>
            <w:gridCol w:w="74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GOAL 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NBES’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general education and collaborative teachers will engage learners in strategic, data-driven instruction, practice, and assessment in all content areas.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GOAL 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NBES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will continue to attract, recruit, and retain highly effective educators.</w:t>
            </w:r>
          </w:p>
        </w:tc>
      </w:tr>
      <w:tr>
        <w:trPr>
          <w:trHeight w:val="18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Job-Embedded Teacher Professional Development/Vertically Aligned Math PLTs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Multi-Sensory, Evidence-Based Intervention (Sound Sensible/S.P.I.R.E.)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Digital Differentiated Curriculum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Differentiated Instruction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WIDA English Language Proficiency Standards/EL Accommodations Implemented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Developmentally Appropriate, Inquiry-based Cross-Curricular Learning Opportunities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AMSTI Professional Development &amp; Classroom Implementation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Professional Learning Opportunities include (but are not limited to):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data analysis, pacing guides, tiered instruction, formative assessment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Alabama Teacher Mentoring Program &amp; CCS Mentoring Program implemented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New teacher preparation to provide a safe, productive environment for students by learning about NBES’ culture and routines.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GOAL 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NBES will have a positive school climate and culture that fosters community involvement and youth development/learning necessary for a productive, contributing, and satisfying life.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GOAL 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NBES will engage and empower learners through technology.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Family Engagement Opportunities Throughout the School Year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Open House; Lunch on the Grounds with Grandparents; Fall AdvancED Parent, Student, and Teacher Climate &amp; Culture Surveys; Lights on After School; Holiday Parent Luncheons; Spring Title I Community Survey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Attendance Incentive Plan with Monthly Attendance Incentive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Provision of a Safe &amp; Happy School Climate &amp; Culture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REACH Program for 5th &amp; 6th Graders; Transition strategies to include K Jumpstart, 6th Grade Transition Program, PreK Program; Faculty &amp; Staff Epipen, Diabetes, Blood Pathogen, Seizure, &amp; Mandatory Reporter Training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AdvancED Student Climate &amp; Culture Survey administered, analyzed, &amp; used for improvement planning (Fall &amp; Spring Administration)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72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Technology Infusion - Integration of available emerging technologies in classrooms.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 addition to the laptops and iPads in classrooms, 4 Chromebook Carts (30 Chromebooks each) will be used daily by students.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Digital Differentiated Curriculum</w:t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complete 2017/2018 New Brockton Elementary School Annual Continuous Improvement Plan document can be accessed digitally on our school website (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http://brockton.cce.schoolinsites.com/</w:t>
        </w:r>
      </w:hyperlink>
      <w:r w:rsidDel="00000000" w:rsidR="00000000" w:rsidRPr="00000000">
        <w:rPr>
          <w:sz w:val="28"/>
          <w:szCs w:val="28"/>
          <w:rtl w:val="0"/>
        </w:rPr>
        <w:t xml:space="preserve">) or a hard copy may be accessed.</w:t>
      </w:r>
    </w:p>
    <w:sectPr>
      <w:pgSz w:h="12240" w:w="15840"/>
      <w:pgMar w:bottom="288" w:top="288" w:left="288" w:right="28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ndika">
    <w:embedRegular w:fontKey="{00000000-0000-0000-0000-000000000000}" r:id="rId1" w:subsetted="0"/>
  </w:font>
  <w:font w:name="Peralta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yperlink" Target="http://brockton.cce.schoolinsites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dika-regular.ttf"/><Relationship Id="rId2" Type="http://schemas.openxmlformats.org/officeDocument/2006/relationships/font" Target="fonts/Peralta-regular.ttf"/></Relationships>
</file>