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04" w:rsidRPr="00BE0409" w:rsidRDefault="00386A4E" w:rsidP="00462A7D">
      <w:pPr>
        <w:jc w:val="center"/>
        <w:rPr>
          <w:b/>
          <w:sz w:val="36"/>
          <w:szCs w:val="36"/>
        </w:rPr>
      </w:pPr>
      <w:bookmarkStart w:id="0" w:name="_GoBack"/>
      <w:bookmarkEnd w:id="0"/>
      <w:r w:rsidRPr="00BE0409">
        <w:rPr>
          <w:b/>
          <w:sz w:val="36"/>
          <w:szCs w:val="36"/>
        </w:rPr>
        <w:t>SLO Timeline and Procedures</w:t>
      </w:r>
    </w:p>
    <w:p w:rsidR="00462A7D" w:rsidRPr="00462A7D" w:rsidRDefault="00462A7D" w:rsidP="00462A7D">
      <w:pPr>
        <w:rPr>
          <w:b/>
          <w:sz w:val="28"/>
          <w:szCs w:val="28"/>
        </w:rPr>
      </w:pPr>
      <w:r w:rsidRPr="00462A7D">
        <w:rPr>
          <w:b/>
          <w:sz w:val="28"/>
          <w:szCs w:val="28"/>
        </w:rPr>
        <w:t>NON TESTED ECA’s</w:t>
      </w:r>
      <w:r w:rsidR="00F63F77">
        <w:rPr>
          <w:b/>
          <w:sz w:val="28"/>
          <w:szCs w:val="28"/>
        </w:rPr>
        <w:t xml:space="preserve"> on Pivot</w:t>
      </w:r>
    </w:p>
    <w:tbl>
      <w:tblPr>
        <w:tblStyle w:val="TableGrid"/>
        <w:tblW w:w="0" w:type="auto"/>
        <w:tblLook w:val="04A0" w:firstRow="1" w:lastRow="0" w:firstColumn="1" w:lastColumn="0" w:noHBand="0" w:noVBand="1"/>
      </w:tblPr>
      <w:tblGrid>
        <w:gridCol w:w="1596"/>
        <w:gridCol w:w="1596"/>
        <w:gridCol w:w="1596"/>
        <w:gridCol w:w="1350"/>
        <w:gridCol w:w="1842"/>
        <w:gridCol w:w="1596"/>
      </w:tblGrid>
      <w:tr w:rsidR="00386A4E" w:rsidTr="00386A4E">
        <w:tc>
          <w:tcPr>
            <w:tcW w:w="9576" w:type="dxa"/>
            <w:gridSpan w:val="6"/>
            <w:shd w:val="clear" w:color="auto" w:fill="BFBFBF" w:themeFill="background1" w:themeFillShade="BF"/>
          </w:tcPr>
          <w:p w:rsidR="00386A4E" w:rsidRPr="00386A4E" w:rsidRDefault="00386A4E" w:rsidP="00386A4E">
            <w:pPr>
              <w:jc w:val="center"/>
              <w:rPr>
                <w:b/>
              </w:rPr>
            </w:pPr>
            <w:r w:rsidRPr="00386A4E">
              <w:rPr>
                <w:b/>
              </w:rPr>
              <w:t>Testing Windows for NON ECA SLO Exams</w:t>
            </w:r>
          </w:p>
        </w:tc>
      </w:tr>
      <w:tr w:rsidR="00386A4E" w:rsidTr="00386A4E">
        <w:tc>
          <w:tcPr>
            <w:tcW w:w="3192" w:type="dxa"/>
            <w:gridSpan w:val="2"/>
            <w:shd w:val="clear" w:color="auto" w:fill="BFBFBF" w:themeFill="background1" w:themeFillShade="BF"/>
            <w:vAlign w:val="center"/>
          </w:tcPr>
          <w:p w:rsidR="00386A4E" w:rsidRPr="00386A4E" w:rsidRDefault="00386A4E" w:rsidP="00386A4E">
            <w:pPr>
              <w:jc w:val="center"/>
              <w:rPr>
                <w:b/>
              </w:rPr>
            </w:pPr>
            <w:r w:rsidRPr="00386A4E">
              <w:rPr>
                <w:b/>
              </w:rPr>
              <w:t>Yearlong Course</w:t>
            </w:r>
          </w:p>
        </w:tc>
        <w:tc>
          <w:tcPr>
            <w:tcW w:w="2946" w:type="dxa"/>
            <w:gridSpan w:val="2"/>
            <w:shd w:val="clear" w:color="auto" w:fill="BFBFBF" w:themeFill="background1" w:themeFillShade="BF"/>
            <w:vAlign w:val="center"/>
          </w:tcPr>
          <w:p w:rsidR="00386A4E" w:rsidRPr="00386A4E" w:rsidRDefault="00386A4E" w:rsidP="00386A4E">
            <w:pPr>
              <w:jc w:val="center"/>
              <w:rPr>
                <w:b/>
              </w:rPr>
            </w:pPr>
            <w:r w:rsidRPr="00386A4E">
              <w:rPr>
                <w:b/>
              </w:rPr>
              <w:t>Semester Course</w:t>
            </w:r>
          </w:p>
        </w:tc>
        <w:tc>
          <w:tcPr>
            <w:tcW w:w="3438" w:type="dxa"/>
            <w:gridSpan w:val="2"/>
            <w:shd w:val="clear" w:color="auto" w:fill="BFBFBF" w:themeFill="background1" w:themeFillShade="BF"/>
            <w:vAlign w:val="center"/>
          </w:tcPr>
          <w:p w:rsidR="00386A4E" w:rsidRPr="00386A4E" w:rsidRDefault="00386A4E" w:rsidP="00386A4E">
            <w:pPr>
              <w:jc w:val="center"/>
              <w:rPr>
                <w:b/>
              </w:rPr>
            </w:pPr>
            <w:r w:rsidRPr="00386A4E">
              <w:rPr>
                <w:b/>
              </w:rPr>
              <w:t>Trimester Course</w:t>
            </w:r>
          </w:p>
        </w:tc>
      </w:tr>
      <w:tr w:rsidR="00386A4E" w:rsidTr="00386A4E">
        <w:tc>
          <w:tcPr>
            <w:tcW w:w="1596" w:type="dxa"/>
            <w:shd w:val="clear" w:color="auto" w:fill="BFBFBF" w:themeFill="background1" w:themeFillShade="BF"/>
          </w:tcPr>
          <w:p w:rsidR="00386A4E" w:rsidRPr="00386A4E" w:rsidRDefault="00386A4E">
            <w:pPr>
              <w:rPr>
                <w:b/>
              </w:rPr>
            </w:pPr>
            <w:r w:rsidRPr="00386A4E">
              <w:rPr>
                <w:b/>
              </w:rPr>
              <w:t>Readiness Window</w:t>
            </w:r>
          </w:p>
        </w:tc>
        <w:tc>
          <w:tcPr>
            <w:tcW w:w="1596" w:type="dxa"/>
          </w:tcPr>
          <w:p w:rsidR="00386A4E" w:rsidRDefault="00386A4E">
            <w:r>
              <w:t>8/17/15-9/4/15</w:t>
            </w:r>
          </w:p>
        </w:tc>
        <w:tc>
          <w:tcPr>
            <w:tcW w:w="1596" w:type="dxa"/>
            <w:shd w:val="clear" w:color="auto" w:fill="BFBFBF" w:themeFill="background1" w:themeFillShade="BF"/>
          </w:tcPr>
          <w:p w:rsidR="00386A4E" w:rsidRPr="00386A4E" w:rsidRDefault="00386A4E">
            <w:pPr>
              <w:rPr>
                <w:b/>
              </w:rPr>
            </w:pPr>
            <w:r w:rsidRPr="00386A4E">
              <w:rPr>
                <w:b/>
              </w:rPr>
              <w:t>S1 Readiness Window</w:t>
            </w:r>
          </w:p>
        </w:tc>
        <w:tc>
          <w:tcPr>
            <w:tcW w:w="1350" w:type="dxa"/>
          </w:tcPr>
          <w:p w:rsidR="00386A4E" w:rsidRDefault="00386A4E">
            <w:r>
              <w:t>8/17/15-9/4/15</w:t>
            </w:r>
          </w:p>
        </w:tc>
        <w:tc>
          <w:tcPr>
            <w:tcW w:w="1842" w:type="dxa"/>
            <w:shd w:val="clear" w:color="auto" w:fill="BFBFBF" w:themeFill="background1" w:themeFillShade="BF"/>
          </w:tcPr>
          <w:p w:rsidR="00386A4E" w:rsidRPr="00386A4E" w:rsidRDefault="00386A4E">
            <w:pPr>
              <w:rPr>
                <w:b/>
              </w:rPr>
            </w:pPr>
            <w:r w:rsidRPr="00386A4E">
              <w:rPr>
                <w:b/>
              </w:rPr>
              <w:t>T1 Readiness Window</w:t>
            </w:r>
          </w:p>
        </w:tc>
        <w:tc>
          <w:tcPr>
            <w:tcW w:w="1596" w:type="dxa"/>
          </w:tcPr>
          <w:p w:rsidR="00386A4E" w:rsidRDefault="00386A4E">
            <w:r>
              <w:t>8/17/15-9/4/15</w:t>
            </w:r>
          </w:p>
        </w:tc>
      </w:tr>
      <w:tr w:rsidR="00386A4E" w:rsidTr="00386A4E">
        <w:tc>
          <w:tcPr>
            <w:tcW w:w="1596" w:type="dxa"/>
            <w:shd w:val="clear" w:color="auto" w:fill="BFBFBF" w:themeFill="background1" w:themeFillShade="BF"/>
          </w:tcPr>
          <w:p w:rsidR="00386A4E" w:rsidRPr="00386A4E" w:rsidRDefault="00386A4E">
            <w:pPr>
              <w:rPr>
                <w:b/>
              </w:rPr>
            </w:pPr>
            <w:r w:rsidRPr="00386A4E">
              <w:rPr>
                <w:b/>
              </w:rPr>
              <w:t>ECA Window</w:t>
            </w:r>
          </w:p>
        </w:tc>
        <w:tc>
          <w:tcPr>
            <w:tcW w:w="1596" w:type="dxa"/>
          </w:tcPr>
          <w:p w:rsidR="00386A4E" w:rsidRDefault="00386A4E">
            <w:r>
              <w:t>5/16/16-6/3/16</w:t>
            </w:r>
          </w:p>
        </w:tc>
        <w:tc>
          <w:tcPr>
            <w:tcW w:w="1596" w:type="dxa"/>
            <w:shd w:val="clear" w:color="auto" w:fill="BFBFBF" w:themeFill="background1" w:themeFillShade="BF"/>
          </w:tcPr>
          <w:p w:rsidR="00386A4E" w:rsidRPr="00386A4E" w:rsidRDefault="00386A4E">
            <w:pPr>
              <w:rPr>
                <w:b/>
              </w:rPr>
            </w:pPr>
            <w:r w:rsidRPr="00386A4E">
              <w:rPr>
                <w:b/>
              </w:rPr>
              <w:t>S1 ECA Window</w:t>
            </w:r>
          </w:p>
        </w:tc>
        <w:tc>
          <w:tcPr>
            <w:tcW w:w="1350" w:type="dxa"/>
          </w:tcPr>
          <w:p w:rsidR="00386A4E" w:rsidRDefault="00386A4E" w:rsidP="00386A4E">
            <w:r>
              <w:t>12/30/15-1/15/16</w:t>
            </w:r>
          </w:p>
        </w:tc>
        <w:tc>
          <w:tcPr>
            <w:tcW w:w="1842" w:type="dxa"/>
            <w:shd w:val="clear" w:color="auto" w:fill="BFBFBF" w:themeFill="background1" w:themeFillShade="BF"/>
          </w:tcPr>
          <w:p w:rsidR="00386A4E" w:rsidRPr="00386A4E" w:rsidRDefault="00386A4E">
            <w:pPr>
              <w:rPr>
                <w:b/>
              </w:rPr>
            </w:pPr>
            <w:r w:rsidRPr="00386A4E">
              <w:rPr>
                <w:b/>
              </w:rPr>
              <w:t>T1 ECA Window</w:t>
            </w:r>
          </w:p>
        </w:tc>
        <w:tc>
          <w:tcPr>
            <w:tcW w:w="1596" w:type="dxa"/>
          </w:tcPr>
          <w:p w:rsidR="00386A4E" w:rsidRDefault="00386A4E" w:rsidP="00386A4E">
            <w:r>
              <w:t>10/26/15-11/13/15</w:t>
            </w:r>
          </w:p>
        </w:tc>
      </w:tr>
      <w:tr w:rsidR="00386A4E" w:rsidTr="00386A4E">
        <w:tc>
          <w:tcPr>
            <w:tcW w:w="3192" w:type="dxa"/>
            <w:gridSpan w:val="2"/>
            <w:vMerge w:val="restart"/>
            <w:tcBorders>
              <w:left w:val="nil"/>
            </w:tcBorders>
          </w:tcPr>
          <w:p w:rsidR="00386A4E" w:rsidRDefault="00386A4E"/>
        </w:tc>
        <w:tc>
          <w:tcPr>
            <w:tcW w:w="1596" w:type="dxa"/>
            <w:shd w:val="clear" w:color="auto" w:fill="BFBFBF" w:themeFill="background1" w:themeFillShade="BF"/>
          </w:tcPr>
          <w:p w:rsidR="00386A4E" w:rsidRPr="00386A4E" w:rsidRDefault="00386A4E">
            <w:pPr>
              <w:rPr>
                <w:b/>
              </w:rPr>
            </w:pPr>
            <w:r w:rsidRPr="00386A4E">
              <w:rPr>
                <w:b/>
              </w:rPr>
              <w:t>S2 Readiness Window</w:t>
            </w:r>
          </w:p>
        </w:tc>
        <w:tc>
          <w:tcPr>
            <w:tcW w:w="1350" w:type="dxa"/>
          </w:tcPr>
          <w:p w:rsidR="00386A4E" w:rsidRDefault="00386A4E">
            <w:r>
              <w:t>1/18/16-2/5/16</w:t>
            </w:r>
          </w:p>
        </w:tc>
        <w:tc>
          <w:tcPr>
            <w:tcW w:w="1842" w:type="dxa"/>
            <w:shd w:val="clear" w:color="auto" w:fill="BFBFBF" w:themeFill="background1" w:themeFillShade="BF"/>
          </w:tcPr>
          <w:p w:rsidR="00386A4E" w:rsidRPr="00386A4E" w:rsidRDefault="00386A4E">
            <w:pPr>
              <w:rPr>
                <w:b/>
              </w:rPr>
            </w:pPr>
            <w:r w:rsidRPr="00386A4E">
              <w:rPr>
                <w:b/>
              </w:rPr>
              <w:t>T2 Readiness Window</w:t>
            </w:r>
          </w:p>
        </w:tc>
        <w:tc>
          <w:tcPr>
            <w:tcW w:w="1596" w:type="dxa"/>
          </w:tcPr>
          <w:p w:rsidR="00386A4E" w:rsidRDefault="00386A4E">
            <w:r>
              <w:t>11/16/15-12/4/15</w:t>
            </w:r>
          </w:p>
        </w:tc>
      </w:tr>
      <w:tr w:rsidR="00386A4E" w:rsidTr="00386A4E">
        <w:tc>
          <w:tcPr>
            <w:tcW w:w="3192" w:type="dxa"/>
            <w:gridSpan w:val="2"/>
            <w:vMerge/>
            <w:tcBorders>
              <w:left w:val="nil"/>
            </w:tcBorders>
          </w:tcPr>
          <w:p w:rsidR="00386A4E" w:rsidRDefault="00386A4E"/>
        </w:tc>
        <w:tc>
          <w:tcPr>
            <w:tcW w:w="1596" w:type="dxa"/>
            <w:shd w:val="clear" w:color="auto" w:fill="BFBFBF" w:themeFill="background1" w:themeFillShade="BF"/>
          </w:tcPr>
          <w:p w:rsidR="00386A4E" w:rsidRPr="00386A4E" w:rsidRDefault="00386A4E">
            <w:pPr>
              <w:rPr>
                <w:b/>
              </w:rPr>
            </w:pPr>
            <w:r w:rsidRPr="00386A4E">
              <w:rPr>
                <w:b/>
              </w:rPr>
              <w:t>S2 ECA Window</w:t>
            </w:r>
          </w:p>
        </w:tc>
        <w:tc>
          <w:tcPr>
            <w:tcW w:w="1350" w:type="dxa"/>
          </w:tcPr>
          <w:p w:rsidR="00386A4E" w:rsidRDefault="00386A4E">
            <w:r>
              <w:t>5/16/16-6/3/16</w:t>
            </w:r>
          </w:p>
        </w:tc>
        <w:tc>
          <w:tcPr>
            <w:tcW w:w="1842" w:type="dxa"/>
            <w:shd w:val="clear" w:color="auto" w:fill="BFBFBF" w:themeFill="background1" w:themeFillShade="BF"/>
          </w:tcPr>
          <w:p w:rsidR="00386A4E" w:rsidRPr="00386A4E" w:rsidRDefault="00386A4E">
            <w:pPr>
              <w:rPr>
                <w:b/>
              </w:rPr>
            </w:pPr>
            <w:r w:rsidRPr="00386A4E">
              <w:rPr>
                <w:b/>
              </w:rPr>
              <w:t>T2 ECA Window</w:t>
            </w:r>
          </w:p>
        </w:tc>
        <w:tc>
          <w:tcPr>
            <w:tcW w:w="1596" w:type="dxa"/>
          </w:tcPr>
          <w:p w:rsidR="00386A4E" w:rsidRDefault="00386A4E">
            <w:r>
              <w:t>2/8/16-2/26/16</w:t>
            </w:r>
          </w:p>
        </w:tc>
      </w:tr>
      <w:tr w:rsidR="00386A4E" w:rsidTr="00386A4E">
        <w:tc>
          <w:tcPr>
            <w:tcW w:w="3192" w:type="dxa"/>
            <w:gridSpan w:val="2"/>
            <w:vMerge/>
            <w:tcBorders>
              <w:left w:val="nil"/>
              <w:right w:val="nil"/>
            </w:tcBorders>
          </w:tcPr>
          <w:p w:rsidR="00386A4E" w:rsidRDefault="00386A4E"/>
        </w:tc>
        <w:tc>
          <w:tcPr>
            <w:tcW w:w="2946" w:type="dxa"/>
            <w:gridSpan w:val="2"/>
            <w:vMerge w:val="restart"/>
            <w:tcBorders>
              <w:left w:val="nil"/>
            </w:tcBorders>
          </w:tcPr>
          <w:p w:rsidR="00386A4E" w:rsidRDefault="00386A4E"/>
        </w:tc>
        <w:tc>
          <w:tcPr>
            <w:tcW w:w="1842" w:type="dxa"/>
            <w:shd w:val="clear" w:color="auto" w:fill="BFBFBF" w:themeFill="background1" w:themeFillShade="BF"/>
          </w:tcPr>
          <w:p w:rsidR="00386A4E" w:rsidRPr="00386A4E" w:rsidRDefault="00386A4E">
            <w:pPr>
              <w:rPr>
                <w:b/>
              </w:rPr>
            </w:pPr>
            <w:r w:rsidRPr="00386A4E">
              <w:rPr>
                <w:b/>
              </w:rPr>
              <w:t>T3 Readiness Window</w:t>
            </w:r>
          </w:p>
        </w:tc>
        <w:tc>
          <w:tcPr>
            <w:tcW w:w="1596" w:type="dxa"/>
          </w:tcPr>
          <w:p w:rsidR="00386A4E" w:rsidRDefault="00386A4E">
            <w:r>
              <w:t>2/29/16-3/18/16</w:t>
            </w:r>
          </w:p>
        </w:tc>
      </w:tr>
      <w:tr w:rsidR="00386A4E" w:rsidTr="00386A4E">
        <w:tc>
          <w:tcPr>
            <w:tcW w:w="3192" w:type="dxa"/>
            <w:gridSpan w:val="2"/>
            <w:vMerge/>
            <w:tcBorders>
              <w:left w:val="nil"/>
              <w:bottom w:val="nil"/>
              <w:right w:val="nil"/>
            </w:tcBorders>
          </w:tcPr>
          <w:p w:rsidR="00386A4E" w:rsidRDefault="00386A4E"/>
        </w:tc>
        <w:tc>
          <w:tcPr>
            <w:tcW w:w="2946" w:type="dxa"/>
            <w:gridSpan w:val="2"/>
            <w:vMerge/>
            <w:tcBorders>
              <w:left w:val="nil"/>
              <w:bottom w:val="nil"/>
            </w:tcBorders>
          </w:tcPr>
          <w:p w:rsidR="00386A4E" w:rsidRDefault="00386A4E"/>
        </w:tc>
        <w:tc>
          <w:tcPr>
            <w:tcW w:w="1842" w:type="dxa"/>
            <w:shd w:val="clear" w:color="auto" w:fill="BFBFBF" w:themeFill="background1" w:themeFillShade="BF"/>
          </w:tcPr>
          <w:p w:rsidR="00386A4E" w:rsidRPr="00386A4E" w:rsidRDefault="00386A4E">
            <w:pPr>
              <w:rPr>
                <w:b/>
              </w:rPr>
            </w:pPr>
            <w:r w:rsidRPr="00386A4E">
              <w:rPr>
                <w:b/>
              </w:rPr>
              <w:t>T3 ECA Window</w:t>
            </w:r>
          </w:p>
        </w:tc>
        <w:tc>
          <w:tcPr>
            <w:tcW w:w="1596" w:type="dxa"/>
          </w:tcPr>
          <w:p w:rsidR="00386A4E" w:rsidRDefault="00386A4E">
            <w:r>
              <w:t>5/16/16-6/3/16</w:t>
            </w:r>
          </w:p>
        </w:tc>
      </w:tr>
    </w:tbl>
    <w:p w:rsidR="00462A7D" w:rsidRDefault="00462A7D" w:rsidP="00462A7D">
      <w:pPr>
        <w:ind w:firstLine="720"/>
      </w:pPr>
      <w:r>
        <w:t xml:space="preserve">At the beginning of each window, ensure that all students in your SLO subject area are enrolled in the class.  All students taking the tested course should take the exam.  Sign up for a computer lab during the class periods needed during the window so that all students can complete your exam.  </w:t>
      </w:r>
    </w:p>
    <w:p w:rsidR="00462A7D" w:rsidRDefault="00462A7D">
      <w:r>
        <w:tab/>
        <w:t xml:space="preserve">It is imperative that you complete all student testing, any manual scoring, and gather all necessary data prior to the last day of the testing window as the Pivot Testing System will shut off after the window.  After all tests are taken and scoring is complete, be sure to print out test results so that we have student names, and raw score with points possible to turn into the office.  </w:t>
      </w:r>
    </w:p>
    <w:p w:rsidR="00462A7D" w:rsidRDefault="00462A7D">
      <w:r>
        <w:tab/>
        <w:t>Use these scores as well as any other potential data sources to determine student readiness in your testing subject.  This form with student names listed in the proper ability section is due one week following your readiness window.  The first readiness report due date will be September 11</w:t>
      </w:r>
      <w:r w:rsidRPr="00462A7D">
        <w:rPr>
          <w:vertAlign w:val="superscript"/>
        </w:rPr>
        <w:t>th</w:t>
      </w:r>
      <w:r>
        <w:t>.</w:t>
      </w:r>
    </w:p>
    <w:p w:rsidR="00462A7D" w:rsidRDefault="00462A7D">
      <w:r>
        <w:tab/>
        <w:t>When the ECA window comes around, follow the same format to be sure all tests are completed and scoring is done so that you are able to turn in the results prior to leaving for summer break.</w:t>
      </w:r>
    </w:p>
    <w:p w:rsidR="00BE0409" w:rsidRPr="00462A7D" w:rsidRDefault="00F63F77" w:rsidP="00BE0409">
      <w:pPr>
        <w:rPr>
          <w:b/>
          <w:sz w:val="28"/>
          <w:szCs w:val="28"/>
        </w:rPr>
      </w:pPr>
      <w:r>
        <w:rPr>
          <w:b/>
          <w:sz w:val="28"/>
          <w:szCs w:val="28"/>
        </w:rPr>
        <w:t>MC</w:t>
      </w:r>
      <w:r w:rsidR="00BE0409">
        <w:rPr>
          <w:b/>
          <w:sz w:val="28"/>
          <w:szCs w:val="28"/>
        </w:rPr>
        <w:t xml:space="preserve">lass, </w:t>
      </w:r>
      <w:r>
        <w:rPr>
          <w:b/>
          <w:sz w:val="28"/>
          <w:szCs w:val="28"/>
        </w:rPr>
        <w:t xml:space="preserve">Non-Tested ECA’s, &amp;Other </w:t>
      </w:r>
      <w:r w:rsidR="00BE0409">
        <w:rPr>
          <w:b/>
          <w:sz w:val="28"/>
          <w:szCs w:val="28"/>
        </w:rPr>
        <w:t>Classroom Assessments</w:t>
      </w:r>
    </w:p>
    <w:p w:rsidR="00462A7D" w:rsidRDefault="00BE0409">
      <w:r>
        <w:tab/>
        <w:t>For those using M</w:t>
      </w:r>
      <w:r w:rsidR="00F63F77">
        <w:t>C</w:t>
      </w:r>
      <w:r>
        <w:t>lass, after the BOY and EOY windows, complete the form “Determining Students’ Starting Points.”  For anyone using only classroom assessments, please turn in the same readiness form by September 11</w:t>
      </w:r>
      <w:r w:rsidRPr="00BE0409">
        <w:rPr>
          <w:vertAlign w:val="superscript"/>
        </w:rPr>
        <w:t>th</w:t>
      </w:r>
      <w:r>
        <w:t>.  Final scores will be due prior to summer break 2016.</w:t>
      </w:r>
    </w:p>
    <w:p w:rsidR="00BE0409" w:rsidRPr="00462A7D" w:rsidRDefault="00BE0409" w:rsidP="00BE0409">
      <w:pPr>
        <w:rPr>
          <w:b/>
          <w:sz w:val="28"/>
          <w:szCs w:val="28"/>
        </w:rPr>
      </w:pPr>
      <w:r>
        <w:rPr>
          <w:b/>
          <w:sz w:val="28"/>
          <w:szCs w:val="28"/>
        </w:rPr>
        <w:t>ISTEP+/</w:t>
      </w:r>
      <w:r w:rsidRPr="00462A7D">
        <w:rPr>
          <w:b/>
          <w:sz w:val="28"/>
          <w:szCs w:val="28"/>
        </w:rPr>
        <w:t xml:space="preserve"> ECA’s</w:t>
      </w:r>
    </w:p>
    <w:p w:rsidR="00BE0409" w:rsidRDefault="00BE0409" w:rsidP="00BE0409">
      <w:r>
        <w:tab/>
        <w:t>For those using one of the above assessments, please complete the form “Determining Students’ Starting Points” by September 11</w:t>
      </w:r>
      <w:r w:rsidRPr="00BE0409">
        <w:rPr>
          <w:vertAlign w:val="superscript"/>
        </w:rPr>
        <w:t>th</w:t>
      </w:r>
      <w:r>
        <w:t>.  Final scores will be tabulated after the state releases the scores for these assessments.</w:t>
      </w:r>
    </w:p>
    <w:p w:rsidR="00BE0409" w:rsidRDefault="00BE0409">
      <w:r>
        <w:br w:type="page"/>
      </w:r>
    </w:p>
    <w:p w:rsidR="00BE0409" w:rsidRDefault="00BE0409" w:rsidP="00BE0409">
      <w:pPr>
        <w:jc w:val="center"/>
        <w:rPr>
          <w:b/>
          <w:sz w:val="36"/>
          <w:szCs w:val="36"/>
        </w:rPr>
      </w:pPr>
      <w:r w:rsidRPr="00BE0409">
        <w:rPr>
          <w:b/>
          <w:sz w:val="36"/>
          <w:szCs w:val="36"/>
        </w:rPr>
        <w:lastRenderedPageBreak/>
        <w:t xml:space="preserve">SLO </w:t>
      </w:r>
      <w:r>
        <w:rPr>
          <w:b/>
          <w:sz w:val="36"/>
          <w:szCs w:val="36"/>
        </w:rPr>
        <w:t>Overview</w:t>
      </w:r>
    </w:p>
    <w:p w:rsidR="00BE0409" w:rsidRPr="00BE0409" w:rsidRDefault="00BE0409" w:rsidP="00BE0409">
      <w:pPr>
        <w:rPr>
          <w:sz w:val="24"/>
          <w:szCs w:val="24"/>
        </w:rPr>
      </w:pPr>
      <w:r>
        <w:rPr>
          <w:sz w:val="24"/>
          <w:szCs w:val="24"/>
        </w:rPr>
        <w:t>The SLO portion of RISE is worth a total of 30% of the overall teacher rating.</w:t>
      </w:r>
    </w:p>
    <w:p w:rsidR="00462A7D" w:rsidRDefault="00BE0409" w:rsidP="00BE0409">
      <w:r>
        <w:t xml:space="preserve">All teachers are placed in a group which is determined based on the assessments we are to use to </w:t>
      </w:r>
      <w:r w:rsidR="003B2F91">
        <w:t>calculate</w:t>
      </w:r>
      <w:r>
        <w:t xml:space="preserve"> student achievement/growth.</w:t>
      </w:r>
    </w:p>
    <w:tbl>
      <w:tblPr>
        <w:tblStyle w:val="TableGrid"/>
        <w:tblW w:w="11088" w:type="dxa"/>
        <w:tblInd w:w="-855" w:type="dxa"/>
        <w:tblLook w:val="04A0" w:firstRow="1" w:lastRow="0" w:firstColumn="1" w:lastColumn="0" w:noHBand="0" w:noVBand="1"/>
      </w:tblPr>
      <w:tblGrid>
        <w:gridCol w:w="1398"/>
        <w:gridCol w:w="1753"/>
        <w:gridCol w:w="778"/>
        <w:gridCol w:w="1440"/>
        <w:gridCol w:w="778"/>
        <w:gridCol w:w="1402"/>
        <w:gridCol w:w="659"/>
        <w:gridCol w:w="1440"/>
        <w:gridCol w:w="1440"/>
      </w:tblGrid>
      <w:tr w:rsidR="00691278" w:rsidTr="00691278">
        <w:trPr>
          <w:trHeight w:val="558"/>
        </w:trPr>
        <w:tc>
          <w:tcPr>
            <w:tcW w:w="1398" w:type="dxa"/>
            <w:shd w:val="clear" w:color="auto" w:fill="BFBFBF" w:themeFill="background1" w:themeFillShade="BF"/>
            <w:vAlign w:val="center"/>
          </w:tcPr>
          <w:p w:rsidR="00691278" w:rsidRDefault="00691278" w:rsidP="003B2F91">
            <w:pPr>
              <w:jc w:val="center"/>
              <w:rPr>
                <w:b/>
                <w:sz w:val="28"/>
                <w:szCs w:val="28"/>
              </w:rPr>
            </w:pPr>
            <w:r w:rsidRPr="003B2F91">
              <w:rPr>
                <w:b/>
                <w:sz w:val="28"/>
                <w:szCs w:val="28"/>
              </w:rPr>
              <w:t>Group</w:t>
            </w:r>
          </w:p>
          <w:p w:rsidR="00691278" w:rsidRPr="003B2F91" w:rsidRDefault="00691278" w:rsidP="003B2F91">
            <w:pPr>
              <w:jc w:val="center"/>
              <w:rPr>
                <w:b/>
                <w:sz w:val="28"/>
                <w:szCs w:val="28"/>
              </w:rPr>
            </w:pPr>
            <w:r>
              <w:rPr>
                <w:b/>
                <w:sz w:val="28"/>
                <w:szCs w:val="28"/>
              </w:rPr>
              <w:t>EL/MS/HS</w:t>
            </w:r>
          </w:p>
        </w:tc>
        <w:tc>
          <w:tcPr>
            <w:tcW w:w="1753" w:type="dxa"/>
            <w:shd w:val="clear" w:color="auto" w:fill="BFBFBF" w:themeFill="background1" w:themeFillShade="BF"/>
            <w:vAlign w:val="center"/>
          </w:tcPr>
          <w:p w:rsidR="00691278" w:rsidRPr="003B2F91" w:rsidRDefault="00691278" w:rsidP="003B2F91">
            <w:pPr>
              <w:jc w:val="center"/>
              <w:rPr>
                <w:b/>
                <w:sz w:val="28"/>
                <w:szCs w:val="28"/>
              </w:rPr>
            </w:pPr>
            <w:r w:rsidRPr="003B2F91">
              <w:rPr>
                <w:b/>
                <w:sz w:val="28"/>
                <w:szCs w:val="28"/>
              </w:rPr>
              <w:t>SLO  Class Objective: Achievement Test</w:t>
            </w:r>
            <w:r>
              <w:rPr>
                <w:b/>
                <w:sz w:val="28"/>
                <w:szCs w:val="28"/>
              </w:rPr>
              <w:t>*</w:t>
            </w:r>
          </w:p>
        </w:tc>
        <w:tc>
          <w:tcPr>
            <w:tcW w:w="778" w:type="dxa"/>
            <w:shd w:val="clear" w:color="auto" w:fill="BFBFBF" w:themeFill="background1" w:themeFillShade="BF"/>
            <w:vAlign w:val="center"/>
          </w:tcPr>
          <w:p w:rsidR="00691278" w:rsidRPr="003B2F91" w:rsidRDefault="00691278" w:rsidP="003B2F91">
            <w:pPr>
              <w:jc w:val="center"/>
              <w:rPr>
                <w:b/>
                <w:sz w:val="28"/>
                <w:szCs w:val="28"/>
              </w:rPr>
            </w:pPr>
            <w:r w:rsidRPr="003B2F91">
              <w:rPr>
                <w:b/>
                <w:sz w:val="28"/>
                <w:szCs w:val="28"/>
              </w:rPr>
              <w:t>%</w:t>
            </w:r>
          </w:p>
        </w:tc>
        <w:tc>
          <w:tcPr>
            <w:tcW w:w="1440" w:type="dxa"/>
            <w:shd w:val="clear" w:color="auto" w:fill="BFBFBF" w:themeFill="background1" w:themeFillShade="BF"/>
            <w:vAlign w:val="center"/>
          </w:tcPr>
          <w:p w:rsidR="00691278" w:rsidRPr="003B2F91" w:rsidRDefault="00691278" w:rsidP="003B2F91">
            <w:pPr>
              <w:jc w:val="center"/>
              <w:rPr>
                <w:b/>
                <w:sz w:val="28"/>
                <w:szCs w:val="28"/>
              </w:rPr>
            </w:pPr>
            <w:r w:rsidRPr="003B2F91">
              <w:rPr>
                <w:b/>
                <w:sz w:val="28"/>
                <w:szCs w:val="28"/>
              </w:rPr>
              <w:t>Secondary Test if Applicable</w:t>
            </w:r>
          </w:p>
        </w:tc>
        <w:tc>
          <w:tcPr>
            <w:tcW w:w="778" w:type="dxa"/>
            <w:shd w:val="clear" w:color="auto" w:fill="BFBFBF" w:themeFill="background1" w:themeFillShade="BF"/>
            <w:vAlign w:val="center"/>
          </w:tcPr>
          <w:p w:rsidR="00691278" w:rsidRPr="003B2F91" w:rsidRDefault="00691278" w:rsidP="003B2F91">
            <w:pPr>
              <w:jc w:val="center"/>
              <w:rPr>
                <w:b/>
                <w:sz w:val="28"/>
                <w:szCs w:val="28"/>
              </w:rPr>
            </w:pPr>
            <w:r w:rsidRPr="003B2F91">
              <w:rPr>
                <w:b/>
                <w:sz w:val="28"/>
                <w:szCs w:val="28"/>
              </w:rPr>
              <w:t>%</w:t>
            </w:r>
          </w:p>
        </w:tc>
        <w:tc>
          <w:tcPr>
            <w:tcW w:w="1402" w:type="dxa"/>
            <w:shd w:val="clear" w:color="auto" w:fill="BFBFBF" w:themeFill="background1" w:themeFillShade="BF"/>
            <w:vAlign w:val="center"/>
          </w:tcPr>
          <w:p w:rsidR="00691278" w:rsidRPr="003B2F91" w:rsidRDefault="00691278" w:rsidP="003B2F91">
            <w:pPr>
              <w:jc w:val="center"/>
              <w:rPr>
                <w:b/>
                <w:sz w:val="28"/>
                <w:szCs w:val="28"/>
              </w:rPr>
            </w:pPr>
            <w:r>
              <w:rPr>
                <w:b/>
                <w:sz w:val="28"/>
                <w:szCs w:val="28"/>
              </w:rPr>
              <w:t xml:space="preserve">SLO Targeted Objective: </w:t>
            </w:r>
            <w:r w:rsidRPr="003B2F91">
              <w:rPr>
                <w:b/>
                <w:sz w:val="28"/>
                <w:szCs w:val="28"/>
              </w:rPr>
              <w:t>Growth Based on:</w:t>
            </w:r>
          </w:p>
        </w:tc>
        <w:tc>
          <w:tcPr>
            <w:tcW w:w="659" w:type="dxa"/>
            <w:shd w:val="clear" w:color="auto" w:fill="BFBFBF" w:themeFill="background1" w:themeFillShade="BF"/>
            <w:vAlign w:val="center"/>
          </w:tcPr>
          <w:p w:rsidR="00691278" w:rsidRPr="003B2F91" w:rsidRDefault="00691278" w:rsidP="003B2F91">
            <w:pPr>
              <w:jc w:val="center"/>
              <w:rPr>
                <w:b/>
                <w:sz w:val="28"/>
                <w:szCs w:val="28"/>
              </w:rPr>
            </w:pPr>
            <w:r>
              <w:rPr>
                <w:b/>
                <w:sz w:val="28"/>
                <w:szCs w:val="28"/>
              </w:rPr>
              <w:t>%</w:t>
            </w:r>
          </w:p>
        </w:tc>
        <w:tc>
          <w:tcPr>
            <w:tcW w:w="1440" w:type="dxa"/>
            <w:shd w:val="clear" w:color="auto" w:fill="BFBFBF" w:themeFill="background1" w:themeFillShade="BF"/>
            <w:vAlign w:val="center"/>
          </w:tcPr>
          <w:p w:rsidR="00691278" w:rsidRPr="003B2F91" w:rsidRDefault="00691278" w:rsidP="003B2F91">
            <w:pPr>
              <w:jc w:val="center"/>
              <w:rPr>
                <w:b/>
                <w:sz w:val="28"/>
                <w:szCs w:val="28"/>
              </w:rPr>
            </w:pPr>
            <w:r w:rsidRPr="003B2F91">
              <w:rPr>
                <w:b/>
                <w:sz w:val="28"/>
                <w:szCs w:val="28"/>
              </w:rPr>
              <w:t>Secondary Test if Applicable</w:t>
            </w:r>
          </w:p>
        </w:tc>
        <w:tc>
          <w:tcPr>
            <w:tcW w:w="1440" w:type="dxa"/>
            <w:shd w:val="clear" w:color="auto" w:fill="BFBFBF" w:themeFill="background1" w:themeFillShade="BF"/>
            <w:vAlign w:val="center"/>
          </w:tcPr>
          <w:p w:rsidR="00691278" w:rsidRPr="003B2F91" w:rsidRDefault="00691278" w:rsidP="00691278">
            <w:pPr>
              <w:jc w:val="center"/>
              <w:rPr>
                <w:b/>
                <w:sz w:val="28"/>
                <w:szCs w:val="28"/>
              </w:rPr>
            </w:pPr>
            <w:r>
              <w:rPr>
                <w:b/>
                <w:sz w:val="28"/>
                <w:szCs w:val="28"/>
              </w:rPr>
              <w:t>%</w:t>
            </w: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K-2</w:t>
            </w:r>
          </w:p>
        </w:tc>
        <w:tc>
          <w:tcPr>
            <w:tcW w:w="1753" w:type="dxa"/>
            <w:vAlign w:val="center"/>
          </w:tcPr>
          <w:p w:rsidR="00691278" w:rsidRDefault="00691278" w:rsidP="003B2F91">
            <w:pPr>
              <w:jc w:val="center"/>
            </w:pPr>
            <w:r>
              <w:t>MClass</w:t>
            </w:r>
          </w:p>
        </w:tc>
        <w:tc>
          <w:tcPr>
            <w:tcW w:w="778" w:type="dxa"/>
            <w:vAlign w:val="center"/>
          </w:tcPr>
          <w:p w:rsidR="00691278" w:rsidRDefault="00691278" w:rsidP="003B2F91">
            <w:pPr>
              <w:jc w:val="center"/>
            </w:pPr>
            <w:r>
              <w:t>14</w:t>
            </w: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3B2F91">
            <w:pPr>
              <w:jc w:val="center"/>
            </w:pPr>
            <w:r>
              <w:t>MClass</w:t>
            </w:r>
          </w:p>
        </w:tc>
        <w:tc>
          <w:tcPr>
            <w:tcW w:w="659" w:type="dxa"/>
            <w:vAlign w:val="center"/>
          </w:tcPr>
          <w:p w:rsidR="00691278" w:rsidRDefault="00691278" w:rsidP="003B2F91">
            <w:pPr>
              <w:jc w:val="center"/>
            </w:pPr>
            <w:r>
              <w:t>16</w:t>
            </w:r>
          </w:p>
        </w:tc>
        <w:tc>
          <w:tcPr>
            <w:tcW w:w="1440" w:type="dxa"/>
            <w:vAlign w:val="center"/>
          </w:tcPr>
          <w:p w:rsidR="00691278" w:rsidRDefault="00691278" w:rsidP="003B2F91">
            <w:pPr>
              <w:jc w:val="center"/>
            </w:pPr>
          </w:p>
        </w:tc>
        <w:tc>
          <w:tcPr>
            <w:tcW w:w="1440" w:type="dxa"/>
            <w:vAlign w:val="center"/>
          </w:tcPr>
          <w:p w:rsidR="00691278" w:rsidRDefault="00691278" w:rsidP="00691278">
            <w:pPr>
              <w:jc w:val="center"/>
            </w:pPr>
          </w:p>
        </w:tc>
      </w:tr>
      <w:tr w:rsidR="00691278" w:rsidTr="00F63F77">
        <w:trPr>
          <w:trHeight w:val="527"/>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3</w:t>
            </w:r>
            <w:r w:rsidRPr="00F63F77">
              <w:rPr>
                <w:b/>
                <w:vertAlign w:val="superscript"/>
              </w:rPr>
              <w:t>rd</w:t>
            </w:r>
          </w:p>
        </w:tc>
        <w:tc>
          <w:tcPr>
            <w:tcW w:w="1753" w:type="dxa"/>
            <w:vAlign w:val="center"/>
          </w:tcPr>
          <w:p w:rsidR="00691278" w:rsidRDefault="00691278" w:rsidP="003B2F91">
            <w:pPr>
              <w:jc w:val="center"/>
            </w:pPr>
            <w:r>
              <w:t>ISTEP+ (ELA)</w:t>
            </w:r>
          </w:p>
        </w:tc>
        <w:tc>
          <w:tcPr>
            <w:tcW w:w="778" w:type="dxa"/>
            <w:vAlign w:val="center"/>
          </w:tcPr>
          <w:p w:rsidR="00691278" w:rsidRDefault="00691278" w:rsidP="003B2F91">
            <w:pPr>
              <w:jc w:val="center"/>
            </w:pPr>
            <w:r>
              <w:t>14</w:t>
            </w: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3B2F91">
            <w:pPr>
              <w:jc w:val="center"/>
            </w:pPr>
            <w:r>
              <w:t>STAR</w:t>
            </w:r>
          </w:p>
        </w:tc>
        <w:tc>
          <w:tcPr>
            <w:tcW w:w="659" w:type="dxa"/>
            <w:vAlign w:val="center"/>
          </w:tcPr>
          <w:p w:rsidR="00691278" w:rsidRDefault="00691278" w:rsidP="003B2F91">
            <w:pPr>
              <w:jc w:val="center"/>
            </w:pPr>
            <w:r>
              <w:t>16</w:t>
            </w:r>
          </w:p>
        </w:tc>
        <w:tc>
          <w:tcPr>
            <w:tcW w:w="1440" w:type="dxa"/>
            <w:vAlign w:val="center"/>
          </w:tcPr>
          <w:p w:rsidR="00691278" w:rsidRDefault="00691278" w:rsidP="003B2F91">
            <w:pPr>
              <w:jc w:val="center"/>
            </w:pPr>
          </w:p>
        </w:tc>
        <w:tc>
          <w:tcPr>
            <w:tcW w:w="1440" w:type="dxa"/>
            <w:vAlign w:val="center"/>
          </w:tcPr>
          <w:p w:rsidR="00691278" w:rsidRDefault="00691278" w:rsidP="00691278">
            <w:pPr>
              <w:jc w:val="center"/>
            </w:pPr>
          </w:p>
        </w:tc>
      </w:tr>
      <w:tr w:rsidR="00691278" w:rsidTr="00F63F77">
        <w:trPr>
          <w:trHeight w:val="527"/>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4-5</w:t>
            </w:r>
          </w:p>
        </w:tc>
        <w:tc>
          <w:tcPr>
            <w:tcW w:w="1753" w:type="dxa"/>
            <w:vAlign w:val="center"/>
          </w:tcPr>
          <w:p w:rsidR="00691278" w:rsidRDefault="00691278" w:rsidP="003B2F91">
            <w:pPr>
              <w:jc w:val="center"/>
            </w:pPr>
            <w:r>
              <w:t>ISTEP+ (Content)</w:t>
            </w:r>
          </w:p>
        </w:tc>
        <w:tc>
          <w:tcPr>
            <w:tcW w:w="778" w:type="dxa"/>
            <w:vAlign w:val="center"/>
          </w:tcPr>
          <w:p w:rsidR="00691278" w:rsidRDefault="00691278" w:rsidP="003B2F91">
            <w:pPr>
              <w:jc w:val="center"/>
            </w:pPr>
            <w:r>
              <w:t>14</w:t>
            </w: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3B2F91">
            <w:pPr>
              <w:jc w:val="center"/>
            </w:pPr>
            <w:r>
              <w:t>ISTEP+</w:t>
            </w:r>
          </w:p>
        </w:tc>
        <w:tc>
          <w:tcPr>
            <w:tcW w:w="659" w:type="dxa"/>
            <w:vAlign w:val="center"/>
          </w:tcPr>
          <w:p w:rsidR="00691278" w:rsidRDefault="00691278" w:rsidP="003B2F91">
            <w:pPr>
              <w:jc w:val="center"/>
            </w:pPr>
            <w:r>
              <w:t>16</w:t>
            </w:r>
          </w:p>
        </w:tc>
        <w:tc>
          <w:tcPr>
            <w:tcW w:w="1440" w:type="dxa"/>
            <w:vAlign w:val="center"/>
          </w:tcPr>
          <w:p w:rsidR="00691278" w:rsidRDefault="00691278" w:rsidP="003B2F91">
            <w:pPr>
              <w:jc w:val="center"/>
            </w:pPr>
          </w:p>
        </w:tc>
        <w:tc>
          <w:tcPr>
            <w:tcW w:w="1440" w:type="dxa"/>
            <w:vAlign w:val="center"/>
          </w:tcPr>
          <w:p w:rsidR="00691278" w:rsidRDefault="00691278" w:rsidP="00691278">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6</w:t>
            </w:r>
            <w:r w:rsidRPr="00F63F77">
              <w:rPr>
                <w:b/>
                <w:vertAlign w:val="superscript"/>
              </w:rPr>
              <w:t>th</w:t>
            </w:r>
          </w:p>
        </w:tc>
        <w:tc>
          <w:tcPr>
            <w:tcW w:w="1753" w:type="dxa"/>
            <w:vAlign w:val="center"/>
          </w:tcPr>
          <w:p w:rsidR="00691278" w:rsidRDefault="00691278" w:rsidP="003B2F91">
            <w:pPr>
              <w:jc w:val="center"/>
            </w:pPr>
            <w:r>
              <w:t>ISTEP+ (Content)</w:t>
            </w:r>
          </w:p>
        </w:tc>
        <w:tc>
          <w:tcPr>
            <w:tcW w:w="778" w:type="dxa"/>
            <w:vAlign w:val="center"/>
          </w:tcPr>
          <w:p w:rsidR="00691278" w:rsidRDefault="00691278" w:rsidP="003B2F91">
            <w:pPr>
              <w:jc w:val="center"/>
            </w:pPr>
            <w:r>
              <w:t>7.14</w:t>
            </w:r>
          </w:p>
        </w:tc>
        <w:tc>
          <w:tcPr>
            <w:tcW w:w="1440" w:type="dxa"/>
            <w:vAlign w:val="center"/>
          </w:tcPr>
          <w:p w:rsidR="00691278" w:rsidRDefault="00691278" w:rsidP="003B2F91">
            <w:pPr>
              <w:jc w:val="center"/>
            </w:pPr>
            <w:r>
              <w:t>Non-Tested ECA</w:t>
            </w:r>
            <w:r w:rsidR="00F63F77">
              <w:t>**</w:t>
            </w:r>
          </w:p>
        </w:tc>
        <w:tc>
          <w:tcPr>
            <w:tcW w:w="778" w:type="dxa"/>
            <w:vAlign w:val="center"/>
          </w:tcPr>
          <w:p w:rsidR="00691278" w:rsidRDefault="00691278" w:rsidP="003B2F91">
            <w:pPr>
              <w:jc w:val="center"/>
            </w:pPr>
            <w:r>
              <w:t>6.86</w:t>
            </w:r>
          </w:p>
        </w:tc>
        <w:tc>
          <w:tcPr>
            <w:tcW w:w="1402" w:type="dxa"/>
            <w:vAlign w:val="center"/>
          </w:tcPr>
          <w:p w:rsidR="00691278" w:rsidRDefault="00691278" w:rsidP="003B2F91">
            <w:pPr>
              <w:jc w:val="center"/>
            </w:pPr>
            <w:r>
              <w:t>ISTEP+</w:t>
            </w:r>
          </w:p>
        </w:tc>
        <w:tc>
          <w:tcPr>
            <w:tcW w:w="659" w:type="dxa"/>
            <w:vAlign w:val="center"/>
          </w:tcPr>
          <w:p w:rsidR="00691278" w:rsidRDefault="00691278" w:rsidP="003B2F91">
            <w:pPr>
              <w:jc w:val="center"/>
            </w:pPr>
            <w:r>
              <w:t>8.16</w:t>
            </w:r>
          </w:p>
        </w:tc>
        <w:tc>
          <w:tcPr>
            <w:tcW w:w="1440" w:type="dxa"/>
            <w:vAlign w:val="center"/>
          </w:tcPr>
          <w:p w:rsidR="00691278" w:rsidRDefault="00691278" w:rsidP="003B2F91">
            <w:pPr>
              <w:jc w:val="center"/>
            </w:pPr>
            <w:r>
              <w:t>Non-Tested ECA</w:t>
            </w:r>
            <w:r w:rsidR="00F63F77">
              <w:t>**</w:t>
            </w:r>
          </w:p>
        </w:tc>
        <w:tc>
          <w:tcPr>
            <w:tcW w:w="1440" w:type="dxa"/>
            <w:vAlign w:val="center"/>
          </w:tcPr>
          <w:p w:rsidR="00691278" w:rsidRDefault="00691278" w:rsidP="00691278">
            <w:pPr>
              <w:jc w:val="center"/>
            </w:pPr>
            <w:r>
              <w:t>7.84</w:t>
            </w: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EL Specials</w:t>
            </w:r>
          </w:p>
        </w:tc>
        <w:tc>
          <w:tcPr>
            <w:tcW w:w="1753" w:type="dxa"/>
            <w:vAlign w:val="center"/>
          </w:tcPr>
          <w:p w:rsidR="00691278" w:rsidRDefault="00691278" w:rsidP="00454E01">
            <w:pPr>
              <w:jc w:val="center"/>
            </w:pPr>
            <w:r>
              <w:t>Non-Tested ECA</w:t>
            </w:r>
          </w:p>
        </w:tc>
        <w:tc>
          <w:tcPr>
            <w:tcW w:w="778" w:type="dxa"/>
            <w:vAlign w:val="center"/>
          </w:tcPr>
          <w:p w:rsidR="00691278" w:rsidRDefault="00691278" w:rsidP="003B2F91">
            <w:pPr>
              <w:jc w:val="center"/>
            </w:pPr>
            <w:r>
              <w:t>14</w:t>
            </w: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454E01">
            <w:pPr>
              <w:jc w:val="center"/>
            </w:pPr>
            <w:r>
              <w:t>Non-Tested ECA</w:t>
            </w:r>
          </w:p>
        </w:tc>
        <w:tc>
          <w:tcPr>
            <w:tcW w:w="659" w:type="dxa"/>
            <w:vAlign w:val="center"/>
          </w:tcPr>
          <w:p w:rsidR="00691278" w:rsidRDefault="00691278" w:rsidP="003B2F91">
            <w:pPr>
              <w:jc w:val="center"/>
            </w:pPr>
            <w:r>
              <w:t>16</w:t>
            </w:r>
          </w:p>
        </w:tc>
        <w:tc>
          <w:tcPr>
            <w:tcW w:w="1440" w:type="dxa"/>
            <w:vAlign w:val="center"/>
          </w:tcPr>
          <w:p w:rsidR="00691278" w:rsidRDefault="00691278" w:rsidP="003B2F91">
            <w:pPr>
              <w:jc w:val="center"/>
            </w:pPr>
          </w:p>
        </w:tc>
        <w:tc>
          <w:tcPr>
            <w:tcW w:w="1440" w:type="dxa"/>
            <w:vAlign w:val="center"/>
          </w:tcPr>
          <w:p w:rsidR="00691278" w:rsidRDefault="00691278" w:rsidP="00691278">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454E01">
            <w:pPr>
              <w:jc w:val="center"/>
              <w:rPr>
                <w:b/>
              </w:rPr>
            </w:pPr>
            <w:r w:rsidRPr="00F63F77">
              <w:rPr>
                <w:b/>
              </w:rPr>
              <w:t>MS Math/ELA</w:t>
            </w:r>
          </w:p>
        </w:tc>
        <w:tc>
          <w:tcPr>
            <w:tcW w:w="1753" w:type="dxa"/>
            <w:vAlign w:val="center"/>
          </w:tcPr>
          <w:p w:rsidR="00691278" w:rsidRDefault="00691278" w:rsidP="00454E01">
            <w:pPr>
              <w:jc w:val="center"/>
            </w:pPr>
            <w:r>
              <w:t>ISTEP+</w:t>
            </w:r>
          </w:p>
        </w:tc>
        <w:tc>
          <w:tcPr>
            <w:tcW w:w="778" w:type="dxa"/>
            <w:vAlign w:val="center"/>
          </w:tcPr>
          <w:p w:rsidR="00691278" w:rsidRDefault="00691278" w:rsidP="00454E01">
            <w:pPr>
              <w:jc w:val="center"/>
            </w:pPr>
            <w:r>
              <w:t>14</w:t>
            </w:r>
          </w:p>
        </w:tc>
        <w:tc>
          <w:tcPr>
            <w:tcW w:w="1440" w:type="dxa"/>
            <w:vAlign w:val="center"/>
          </w:tcPr>
          <w:p w:rsidR="00691278" w:rsidRDefault="00691278" w:rsidP="00454E01">
            <w:pPr>
              <w:jc w:val="center"/>
            </w:pPr>
          </w:p>
        </w:tc>
        <w:tc>
          <w:tcPr>
            <w:tcW w:w="778" w:type="dxa"/>
            <w:vAlign w:val="center"/>
          </w:tcPr>
          <w:p w:rsidR="00691278" w:rsidRDefault="00691278" w:rsidP="00454E01">
            <w:pPr>
              <w:jc w:val="center"/>
            </w:pPr>
          </w:p>
        </w:tc>
        <w:tc>
          <w:tcPr>
            <w:tcW w:w="1402" w:type="dxa"/>
            <w:vAlign w:val="center"/>
          </w:tcPr>
          <w:p w:rsidR="00691278" w:rsidRDefault="00691278" w:rsidP="00454E01">
            <w:pPr>
              <w:jc w:val="center"/>
            </w:pPr>
            <w:r>
              <w:t>ISTEP+</w:t>
            </w:r>
          </w:p>
        </w:tc>
        <w:tc>
          <w:tcPr>
            <w:tcW w:w="659" w:type="dxa"/>
            <w:vAlign w:val="center"/>
          </w:tcPr>
          <w:p w:rsidR="00691278" w:rsidRDefault="00691278" w:rsidP="00454E01">
            <w:pPr>
              <w:jc w:val="center"/>
            </w:pPr>
            <w:r>
              <w:t>16</w:t>
            </w:r>
          </w:p>
        </w:tc>
        <w:tc>
          <w:tcPr>
            <w:tcW w:w="1440" w:type="dxa"/>
            <w:vAlign w:val="center"/>
          </w:tcPr>
          <w:p w:rsidR="00691278" w:rsidRDefault="00691278" w:rsidP="00454E01">
            <w:pPr>
              <w:jc w:val="center"/>
            </w:pPr>
          </w:p>
        </w:tc>
        <w:tc>
          <w:tcPr>
            <w:tcW w:w="1440" w:type="dxa"/>
            <w:vAlign w:val="center"/>
          </w:tcPr>
          <w:p w:rsidR="00691278" w:rsidRDefault="00691278" w:rsidP="00454E01">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454E01">
            <w:pPr>
              <w:jc w:val="center"/>
              <w:rPr>
                <w:b/>
              </w:rPr>
            </w:pPr>
            <w:r w:rsidRPr="00F63F77">
              <w:rPr>
                <w:b/>
              </w:rPr>
              <w:t>MS SS</w:t>
            </w:r>
          </w:p>
        </w:tc>
        <w:tc>
          <w:tcPr>
            <w:tcW w:w="1753" w:type="dxa"/>
            <w:vAlign w:val="center"/>
          </w:tcPr>
          <w:p w:rsidR="00691278" w:rsidRDefault="00691278" w:rsidP="00454E01">
            <w:pPr>
              <w:jc w:val="center"/>
            </w:pPr>
            <w:r>
              <w:t>ISTEP+</w:t>
            </w:r>
          </w:p>
        </w:tc>
        <w:tc>
          <w:tcPr>
            <w:tcW w:w="778" w:type="dxa"/>
            <w:vAlign w:val="center"/>
          </w:tcPr>
          <w:p w:rsidR="00691278" w:rsidRDefault="00691278" w:rsidP="00454E01">
            <w:pPr>
              <w:jc w:val="center"/>
            </w:pPr>
            <w:r>
              <w:t>7.14</w:t>
            </w:r>
          </w:p>
        </w:tc>
        <w:tc>
          <w:tcPr>
            <w:tcW w:w="1440" w:type="dxa"/>
            <w:vAlign w:val="center"/>
          </w:tcPr>
          <w:p w:rsidR="00691278" w:rsidRDefault="00691278" w:rsidP="00454E01">
            <w:pPr>
              <w:jc w:val="center"/>
            </w:pPr>
            <w:r>
              <w:t>Non-Tested ECA</w:t>
            </w:r>
            <w:r w:rsidR="00F63F77">
              <w:t>**</w:t>
            </w:r>
          </w:p>
        </w:tc>
        <w:tc>
          <w:tcPr>
            <w:tcW w:w="778" w:type="dxa"/>
            <w:vAlign w:val="center"/>
          </w:tcPr>
          <w:p w:rsidR="00691278" w:rsidRDefault="00691278" w:rsidP="00454E01">
            <w:pPr>
              <w:jc w:val="center"/>
            </w:pPr>
            <w:r>
              <w:t>6.86</w:t>
            </w:r>
          </w:p>
        </w:tc>
        <w:tc>
          <w:tcPr>
            <w:tcW w:w="1402" w:type="dxa"/>
            <w:vAlign w:val="center"/>
          </w:tcPr>
          <w:p w:rsidR="00691278" w:rsidRDefault="00691278" w:rsidP="00454E01">
            <w:pPr>
              <w:jc w:val="center"/>
            </w:pPr>
            <w:r>
              <w:t>Non-Tested ECA</w:t>
            </w:r>
          </w:p>
        </w:tc>
        <w:tc>
          <w:tcPr>
            <w:tcW w:w="659" w:type="dxa"/>
            <w:vAlign w:val="center"/>
          </w:tcPr>
          <w:p w:rsidR="00691278" w:rsidRDefault="00691278" w:rsidP="00454E01">
            <w:pPr>
              <w:jc w:val="center"/>
            </w:pPr>
            <w:r>
              <w:t>16</w:t>
            </w:r>
          </w:p>
        </w:tc>
        <w:tc>
          <w:tcPr>
            <w:tcW w:w="1440" w:type="dxa"/>
            <w:vAlign w:val="center"/>
          </w:tcPr>
          <w:p w:rsidR="00691278" w:rsidRDefault="00691278" w:rsidP="00454E01">
            <w:pPr>
              <w:jc w:val="center"/>
            </w:pPr>
          </w:p>
        </w:tc>
        <w:tc>
          <w:tcPr>
            <w:tcW w:w="1440" w:type="dxa"/>
            <w:vAlign w:val="center"/>
          </w:tcPr>
          <w:p w:rsidR="00691278" w:rsidRDefault="00691278" w:rsidP="00454E01">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454E01">
            <w:pPr>
              <w:jc w:val="center"/>
              <w:rPr>
                <w:b/>
              </w:rPr>
            </w:pPr>
            <w:r w:rsidRPr="00F63F77">
              <w:rPr>
                <w:b/>
              </w:rPr>
              <w:t>MS Sci</w:t>
            </w:r>
          </w:p>
        </w:tc>
        <w:tc>
          <w:tcPr>
            <w:tcW w:w="1753" w:type="dxa"/>
            <w:vAlign w:val="center"/>
          </w:tcPr>
          <w:p w:rsidR="00691278" w:rsidRDefault="00691278" w:rsidP="00454E01">
            <w:pPr>
              <w:jc w:val="center"/>
            </w:pPr>
            <w:r>
              <w:t>Non-Tested ECA</w:t>
            </w:r>
          </w:p>
        </w:tc>
        <w:tc>
          <w:tcPr>
            <w:tcW w:w="778" w:type="dxa"/>
            <w:vAlign w:val="center"/>
          </w:tcPr>
          <w:p w:rsidR="00691278" w:rsidRDefault="00691278" w:rsidP="00454E01">
            <w:pPr>
              <w:jc w:val="center"/>
            </w:pPr>
            <w:r>
              <w:t>14</w:t>
            </w:r>
          </w:p>
        </w:tc>
        <w:tc>
          <w:tcPr>
            <w:tcW w:w="1440" w:type="dxa"/>
            <w:vAlign w:val="center"/>
          </w:tcPr>
          <w:p w:rsidR="00691278" w:rsidRDefault="00691278" w:rsidP="00454E01">
            <w:pPr>
              <w:jc w:val="center"/>
            </w:pPr>
          </w:p>
        </w:tc>
        <w:tc>
          <w:tcPr>
            <w:tcW w:w="778" w:type="dxa"/>
            <w:vAlign w:val="center"/>
          </w:tcPr>
          <w:p w:rsidR="00691278" w:rsidRDefault="00691278" w:rsidP="00454E01">
            <w:pPr>
              <w:jc w:val="center"/>
            </w:pPr>
          </w:p>
        </w:tc>
        <w:tc>
          <w:tcPr>
            <w:tcW w:w="1402" w:type="dxa"/>
            <w:vAlign w:val="center"/>
          </w:tcPr>
          <w:p w:rsidR="00691278" w:rsidRDefault="00691278" w:rsidP="00454E01">
            <w:pPr>
              <w:jc w:val="center"/>
            </w:pPr>
            <w:r>
              <w:t>Non-Tested ECA</w:t>
            </w:r>
          </w:p>
        </w:tc>
        <w:tc>
          <w:tcPr>
            <w:tcW w:w="659" w:type="dxa"/>
            <w:vAlign w:val="center"/>
          </w:tcPr>
          <w:p w:rsidR="00691278" w:rsidRDefault="00691278" w:rsidP="00454E01">
            <w:pPr>
              <w:jc w:val="center"/>
            </w:pPr>
            <w:r>
              <w:t>16</w:t>
            </w:r>
          </w:p>
        </w:tc>
        <w:tc>
          <w:tcPr>
            <w:tcW w:w="1440" w:type="dxa"/>
            <w:vAlign w:val="center"/>
          </w:tcPr>
          <w:p w:rsidR="00691278" w:rsidRDefault="00691278" w:rsidP="00454E01">
            <w:pPr>
              <w:jc w:val="center"/>
            </w:pPr>
          </w:p>
        </w:tc>
        <w:tc>
          <w:tcPr>
            <w:tcW w:w="1440" w:type="dxa"/>
            <w:vAlign w:val="center"/>
          </w:tcPr>
          <w:p w:rsidR="00691278" w:rsidRDefault="00691278" w:rsidP="00454E01">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454E01">
            <w:pPr>
              <w:jc w:val="center"/>
              <w:rPr>
                <w:b/>
              </w:rPr>
            </w:pPr>
            <w:r w:rsidRPr="00F63F77">
              <w:rPr>
                <w:b/>
              </w:rPr>
              <w:t>HS Alg</w:t>
            </w:r>
            <w:r w:rsidR="00F63F77">
              <w:rPr>
                <w:b/>
              </w:rPr>
              <w:t xml:space="preserve"> I</w:t>
            </w:r>
            <w:r w:rsidRPr="00F63F77">
              <w:rPr>
                <w:b/>
              </w:rPr>
              <w:t>, Eng. 10, &amp; Bio</w:t>
            </w:r>
          </w:p>
        </w:tc>
        <w:tc>
          <w:tcPr>
            <w:tcW w:w="1753" w:type="dxa"/>
            <w:vAlign w:val="center"/>
          </w:tcPr>
          <w:p w:rsidR="00691278" w:rsidRDefault="00691278" w:rsidP="00454E01">
            <w:pPr>
              <w:jc w:val="center"/>
            </w:pPr>
            <w:r>
              <w:t>ECA</w:t>
            </w:r>
          </w:p>
        </w:tc>
        <w:tc>
          <w:tcPr>
            <w:tcW w:w="778" w:type="dxa"/>
            <w:vAlign w:val="center"/>
          </w:tcPr>
          <w:p w:rsidR="00691278" w:rsidRDefault="00691278" w:rsidP="00454E01">
            <w:pPr>
              <w:jc w:val="center"/>
            </w:pPr>
            <w:r>
              <w:t>7.14</w:t>
            </w:r>
          </w:p>
        </w:tc>
        <w:tc>
          <w:tcPr>
            <w:tcW w:w="1440" w:type="dxa"/>
            <w:vAlign w:val="center"/>
          </w:tcPr>
          <w:p w:rsidR="00691278" w:rsidRDefault="00691278" w:rsidP="00454E01">
            <w:pPr>
              <w:jc w:val="center"/>
            </w:pPr>
            <w:r>
              <w:t>Non-Tested ECA</w:t>
            </w:r>
            <w:r w:rsidR="00F63F77">
              <w:t>**</w:t>
            </w:r>
          </w:p>
        </w:tc>
        <w:tc>
          <w:tcPr>
            <w:tcW w:w="778" w:type="dxa"/>
            <w:vAlign w:val="center"/>
          </w:tcPr>
          <w:p w:rsidR="00691278" w:rsidRDefault="00691278" w:rsidP="00454E01">
            <w:pPr>
              <w:jc w:val="center"/>
            </w:pPr>
            <w:r>
              <w:t>6.86</w:t>
            </w:r>
          </w:p>
        </w:tc>
        <w:tc>
          <w:tcPr>
            <w:tcW w:w="1402" w:type="dxa"/>
            <w:vAlign w:val="center"/>
          </w:tcPr>
          <w:p w:rsidR="00691278" w:rsidRDefault="00691278" w:rsidP="00454E01">
            <w:pPr>
              <w:jc w:val="center"/>
            </w:pPr>
            <w:r>
              <w:t>Non-Tested ECA</w:t>
            </w:r>
          </w:p>
        </w:tc>
        <w:tc>
          <w:tcPr>
            <w:tcW w:w="659" w:type="dxa"/>
            <w:vAlign w:val="center"/>
          </w:tcPr>
          <w:p w:rsidR="00691278" w:rsidRDefault="00691278" w:rsidP="00454E01">
            <w:pPr>
              <w:jc w:val="center"/>
            </w:pPr>
            <w:r>
              <w:t>16</w:t>
            </w:r>
          </w:p>
        </w:tc>
        <w:tc>
          <w:tcPr>
            <w:tcW w:w="1440" w:type="dxa"/>
            <w:vAlign w:val="center"/>
          </w:tcPr>
          <w:p w:rsidR="00691278" w:rsidRDefault="00691278" w:rsidP="00454E01">
            <w:pPr>
              <w:jc w:val="center"/>
            </w:pPr>
          </w:p>
        </w:tc>
        <w:tc>
          <w:tcPr>
            <w:tcW w:w="1440" w:type="dxa"/>
            <w:vAlign w:val="center"/>
          </w:tcPr>
          <w:p w:rsidR="00691278" w:rsidRDefault="00691278" w:rsidP="00454E01">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454E01">
            <w:pPr>
              <w:jc w:val="center"/>
              <w:rPr>
                <w:b/>
              </w:rPr>
            </w:pPr>
            <w:r w:rsidRPr="00F63F77">
              <w:rPr>
                <w:b/>
              </w:rPr>
              <w:t>HS</w:t>
            </w:r>
          </w:p>
        </w:tc>
        <w:tc>
          <w:tcPr>
            <w:tcW w:w="1753" w:type="dxa"/>
            <w:vAlign w:val="center"/>
          </w:tcPr>
          <w:p w:rsidR="00691278" w:rsidRDefault="00691278" w:rsidP="00454E01">
            <w:pPr>
              <w:jc w:val="center"/>
            </w:pPr>
            <w:r>
              <w:t>Non-Tested ECA</w:t>
            </w:r>
          </w:p>
        </w:tc>
        <w:tc>
          <w:tcPr>
            <w:tcW w:w="778" w:type="dxa"/>
            <w:vAlign w:val="center"/>
          </w:tcPr>
          <w:p w:rsidR="00691278" w:rsidRDefault="00691278" w:rsidP="00454E01">
            <w:pPr>
              <w:jc w:val="center"/>
            </w:pPr>
            <w:r>
              <w:t>14</w:t>
            </w:r>
          </w:p>
        </w:tc>
        <w:tc>
          <w:tcPr>
            <w:tcW w:w="1440" w:type="dxa"/>
            <w:vAlign w:val="center"/>
          </w:tcPr>
          <w:p w:rsidR="00691278" w:rsidRDefault="00691278" w:rsidP="00454E01">
            <w:pPr>
              <w:jc w:val="center"/>
            </w:pPr>
          </w:p>
        </w:tc>
        <w:tc>
          <w:tcPr>
            <w:tcW w:w="778" w:type="dxa"/>
            <w:vAlign w:val="center"/>
          </w:tcPr>
          <w:p w:rsidR="00691278" w:rsidRDefault="00691278" w:rsidP="00454E01">
            <w:pPr>
              <w:jc w:val="center"/>
            </w:pPr>
          </w:p>
        </w:tc>
        <w:tc>
          <w:tcPr>
            <w:tcW w:w="1402" w:type="dxa"/>
            <w:vAlign w:val="center"/>
          </w:tcPr>
          <w:p w:rsidR="00691278" w:rsidRDefault="00691278" w:rsidP="00454E01">
            <w:pPr>
              <w:jc w:val="center"/>
            </w:pPr>
            <w:r>
              <w:t>Non-Tested ECA</w:t>
            </w:r>
          </w:p>
        </w:tc>
        <w:tc>
          <w:tcPr>
            <w:tcW w:w="659" w:type="dxa"/>
            <w:vAlign w:val="center"/>
          </w:tcPr>
          <w:p w:rsidR="00691278" w:rsidRDefault="00691278" w:rsidP="00454E01">
            <w:pPr>
              <w:jc w:val="center"/>
            </w:pPr>
            <w:r>
              <w:t>16</w:t>
            </w:r>
          </w:p>
        </w:tc>
        <w:tc>
          <w:tcPr>
            <w:tcW w:w="1440" w:type="dxa"/>
            <w:vAlign w:val="center"/>
          </w:tcPr>
          <w:p w:rsidR="00691278" w:rsidRDefault="00691278" w:rsidP="00454E01">
            <w:pPr>
              <w:jc w:val="center"/>
            </w:pPr>
          </w:p>
        </w:tc>
        <w:tc>
          <w:tcPr>
            <w:tcW w:w="1440" w:type="dxa"/>
            <w:vAlign w:val="center"/>
          </w:tcPr>
          <w:p w:rsidR="00691278" w:rsidRDefault="00691278" w:rsidP="00454E01">
            <w:pPr>
              <w:jc w:val="center"/>
            </w:pP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Title I</w:t>
            </w:r>
          </w:p>
        </w:tc>
        <w:tc>
          <w:tcPr>
            <w:tcW w:w="1753"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3B2F91">
            <w:pPr>
              <w:jc w:val="center"/>
            </w:pPr>
            <w:r>
              <w:t>MClass</w:t>
            </w:r>
          </w:p>
        </w:tc>
        <w:tc>
          <w:tcPr>
            <w:tcW w:w="659" w:type="dxa"/>
            <w:vAlign w:val="center"/>
          </w:tcPr>
          <w:p w:rsidR="00691278" w:rsidRDefault="00691278" w:rsidP="003B2F91">
            <w:pPr>
              <w:jc w:val="center"/>
            </w:pPr>
            <w:r>
              <w:t>15</w:t>
            </w:r>
          </w:p>
        </w:tc>
        <w:tc>
          <w:tcPr>
            <w:tcW w:w="1440" w:type="dxa"/>
            <w:vAlign w:val="center"/>
          </w:tcPr>
          <w:p w:rsidR="00691278" w:rsidRDefault="00691278" w:rsidP="003B2F91">
            <w:pPr>
              <w:jc w:val="center"/>
            </w:pPr>
            <w:r>
              <w:t>STAR</w:t>
            </w:r>
          </w:p>
        </w:tc>
        <w:tc>
          <w:tcPr>
            <w:tcW w:w="1440" w:type="dxa"/>
            <w:vAlign w:val="center"/>
          </w:tcPr>
          <w:p w:rsidR="00691278" w:rsidRDefault="00691278" w:rsidP="00691278">
            <w:pPr>
              <w:jc w:val="center"/>
            </w:pPr>
            <w:r>
              <w:t>15</w:t>
            </w: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Library</w:t>
            </w:r>
          </w:p>
        </w:tc>
        <w:tc>
          <w:tcPr>
            <w:tcW w:w="1753"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3B2F91">
            <w:pPr>
              <w:jc w:val="center"/>
            </w:pPr>
            <w:r>
              <w:t>Group Assessment</w:t>
            </w:r>
          </w:p>
        </w:tc>
        <w:tc>
          <w:tcPr>
            <w:tcW w:w="659" w:type="dxa"/>
            <w:vAlign w:val="center"/>
          </w:tcPr>
          <w:p w:rsidR="00691278" w:rsidRDefault="00691278" w:rsidP="003B2F91">
            <w:pPr>
              <w:jc w:val="center"/>
            </w:pPr>
            <w:r>
              <w:t>15</w:t>
            </w:r>
          </w:p>
        </w:tc>
        <w:tc>
          <w:tcPr>
            <w:tcW w:w="1440" w:type="dxa"/>
            <w:vAlign w:val="center"/>
          </w:tcPr>
          <w:p w:rsidR="00691278" w:rsidRDefault="00691278" w:rsidP="003B2F91">
            <w:pPr>
              <w:jc w:val="center"/>
            </w:pPr>
            <w:r>
              <w:t>Group Assessment</w:t>
            </w:r>
          </w:p>
        </w:tc>
        <w:tc>
          <w:tcPr>
            <w:tcW w:w="1440" w:type="dxa"/>
            <w:vAlign w:val="center"/>
          </w:tcPr>
          <w:p w:rsidR="00691278" w:rsidRDefault="00691278" w:rsidP="00691278">
            <w:pPr>
              <w:jc w:val="center"/>
            </w:pPr>
            <w:r>
              <w:t>15</w:t>
            </w:r>
          </w:p>
        </w:tc>
      </w:tr>
      <w:tr w:rsidR="00691278" w:rsidTr="00F63F77">
        <w:trPr>
          <w:trHeight w:val="558"/>
        </w:trPr>
        <w:tc>
          <w:tcPr>
            <w:tcW w:w="1398" w:type="dxa"/>
            <w:shd w:val="clear" w:color="auto" w:fill="BFBFBF" w:themeFill="background1" w:themeFillShade="BF"/>
            <w:vAlign w:val="center"/>
          </w:tcPr>
          <w:p w:rsidR="00691278" w:rsidRPr="00F63F77" w:rsidRDefault="00691278" w:rsidP="003B2F91">
            <w:pPr>
              <w:jc w:val="center"/>
              <w:rPr>
                <w:b/>
              </w:rPr>
            </w:pPr>
            <w:r w:rsidRPr="00F63F77">
              <w:rPr>
                <w:b/>
              </w:rPr>
              <w:t>Guidance</w:t>
            </w:r>
          </w:p>
        </w:tc>
        <w:tc>
          <w:tcPr>
            <w:tcW w:w="1753"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40" w:type="dxa"/>
            <w:vAlign w:val="center"/>
          </w:tcPr>
          <w:p w:rsidR="00691278" w:rsidRDefault="00691278" w:rsidP="003B2F91">
            <w:pPr>
              <w:jc w:val="center"/>
            </w:pPr>
          </w:p>
        </w:tc>
        <w:tc>
          <w:tcPr>
            <w:tcW w:w="778" w:type="dxa"/>
            <w:vAlign w:val="center"/>
          </w:tcPr>
          <w:p w:rsidR="00691278" w:rsidRDefault="00691278" w:rsidP="003B2F91">
            <w:pPr>
              <w:jc w:val="center"/>
            </w:pPr>
          </w:p>
        </w:tc>
        <w:tc>
          <w:tcPr>
            <w:tcW w:w="1402" w:type="dxa"/>
            <w:vAlign w:val="center"/>
          </w:tcPr>
          <w:p w:rsidR="00691278" w:rsidRDefault="00691278" w:rsidP="00454E01">
            <w:pPr>
              <w:jc w:val="center"/>
            </w:pPr>
            <w:r>
              <w:t>Group Assessment</w:t>
            </w:r>
          </w:p>
        </w:tc>
        <w:tc>
          <w:tcPr>
            <w:tcW w:w="659" w:type="dxa"/>
            <w:vAlign w:val="center"/>
          </w:tcPr>
          <w:p w:rsidR="00691278" w:rsidRDefault="00691278" w:rsidP="00454E01">
            <w:pPr>
              <w:jc w:val="center"/>
            </w:pPr>
            <w:r>
              <w:t>15</w:t>
            </w:r>
          </w:p>
        </w:tc>
        <w:tc>
          <w:tcPr>
            <w:tcW w:w="1440" w:type="dxa"/>
            <w:vAlign w:val="center"/>
          </w:tcPr>
          <w:p w:rsidR="00691278" w:rsidRDefault="00691278" w:rsidP="00454E01">
            <w:pPr>
              <w:jc w:val="center"/>
            </w:pPr>
            <w:r>
              <w:t>Group Assessment</w:t>
            </w:r>
          </w:p>
        </w:tc>
        <w:tc>
          <w:tcPr>
            <w:tcW w:w="1440" w:type="dxa"/>
            <w:vAlign w:val="center"/>
          </w:tcPr>
          <w:p w:rsidR="00691278" w:rsidRDefault="00691278" w:rsidP="00454E01">
            <w:pPr>
              <w:jc w:val="center"/>
            </w:pPr>
            <w:r>
              <w:t>15</w:t>
            </w:r>
          </w:p>
        </w:tc>
      </w:tr>
    </w:tbl>
    <w:p w:rsidR="00F63F77" w:rsidRDefault="003B2F91" w:rsidP="00BE0409">
      <w:r>
        <w:t xml:space="preserve">*Based on state RISE guidelines: we are using the </w:t>
      </w:r>
      <w:r w:rsidR="00F63F77">
        <w:t xml:space="preserve">test with the </w:t>
      </w:r>
      <w:r>
        <w:t>highest security available</w:t>
      </w:r>
      <w:r w:rsidR="00F63F77">
        <w:t>:</w:t>
      </w:r>
    </w:p>
    <w:p w:rsidR="003B2F91" w:rsidRDefault="003B2F91" w:rsidP="00BE0409">
      <w:r>
        <w:t>ISTEP+/ECA</w:t>
      </w:r>
      <w:r>
        <w:tab/>
      </w:r>
      <w:r>
        <w:tab/>
        <w:t>Consortium Non Tested ECA’</w:t>
      </w:r>
      <w:r w:rsidR="00F63F77">
        <w:t>s/MC</w:t>
      </w:r>
      <w:r>
        <w:t>lass</w:t>
      </w:r>
      <w:r w:rsidR="00F63F77">
        <w:t xml:space="preserve"> Assessment/</w:t>
      </w:r>
      <w:r>
        <w:t>STAR Assessment</w:t>
      </w:r>
    </w:p>
    <w:p w:rsidR="00F63F77" w:rsidRDefault="00F63F77" w:rsidP="00BE0409">
      <w:r>
        <w:t>**On the chance that you score higher on the ISTEP/ECA tests over the Consortium Exam, those higher scores will be used for the entire percentage available.</w:t>
      </w:r>
    </w:p>
    <w:sectPr w:rsidR="00F63F77" w:rsidSect="00DD4D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4E"/>
    <w:rsid w:val="00123C98"/>
    <w:rsid w:val="001B6D04"/>
    <w:rsid w:val="002C0412"/>
    <w:rsid w:val="00386A4E"/>
    <w:rsid w:val="003B2F91"/>
    <w:rsid w:val="00462A7D"/>
    <w:rsid w:val="00691278"/>
    <w:rsid w:val="00BE0409"/>
    <w:rsid w:val="00D60510"/>
    <w:rsid w:val="00DD4DCC"/>
    <w:rsid w:val="00F6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and Christine</dc:creator>
  <cp:lastModifiedBy>esmith</cp:lastModifiedBy>
  <cp:revision>2</cp:revision>
  <cp:lastPrinted>2015-08-15T21:25:00Z</cp:lastPrinted>
  <dcterms:created xsi:type="dcterms:W3CDTF">2015-09-09T17:59:00Z</dcterms:created>
  <dcterms:modified xsi:type="dcterms:W3CDTF">2015-09-09T17:59:00Z</dcterms:modified>
</cp:coreProperties>
</file>