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621C29" w:rsidRPr="00621C29" w14:paraId="1E3F0BCE" w14:textId="77777777" w:rsidTr="00621C29">
        <w:trPr>
          <w:trHeight w:val="254"/>
          <w:tblCellSpacing w:w="0" w:type="dxa"/>
          <w:jc w:val="center"/>
        </w:trPr>
        <w:tc>
          <w:tcPr>
            <w:tcW w:w="11400" w:type="dxa"/>
            <w:shd w:val="clear" w:color="auto" w:fill="auto"/>
            <w:vAlign w:val="center"/>
            <w:hideMark/>
          </w:tcPr>
          <w:p w14:paraId="773DF077" w14:textId="77777777" w:rsidR="00621C29" w:rsidRPr="00621C29" w:rsidRDefault="00621C29" w:rsidP="00621C29">
            <w:pPr>
              <w:spacing w:after="0" w:line="240" w:lineRule="auto"/>
              <w:rPr>
                <w:rFonts w:ascii="Tahoma" w:eastAsia="Times New Roman" w:hAnsi="Tahoma" w:cs="Tahoma"/>
                <w:b/>
                <w:bCs/>
                <w:caps/>
                <w:color w:val="345863"/>
                <w:sz w:val="21"/>
                <w:szCs w:val="21"/>
              </w:rPr>
            </w:pPr>
            <w:bookmarkStart w:id="0" w:name="_GoBack"/>
            <w:bookmarkEnd w:id="0"/>
            <w:r w:rsidRPr="00621C29">
              <w:rPr>
                <w:rFonts w:ascii="Tahoma" w:eastAsia="Times New Roman" w:hAnsi="Tahoma" w:cs="Tahoma"/>
                <w:b/>
                <w:bCs/>
                <w:caps/>
                <w:color w:val="345863"/>
                <w:sz w:val="21"/>
                <w:szCs w:val="21"/>
              </w:rPr>
              <w:t xml:space="preserve">PF 2655 Bullying </w:t>
            </w:r>
          </w:p>
        </w:tc>
      </w:tr>
      <w:tr w:rsidR="00621C29" w:rsidRPr="00621C29" w14:paraId="7284ECBB" w14:textId="77777777" w:rsidTr="00621C29">
        <w:trPr>
          <w:tblCellSpacing w:w="0" w:type="dxa"/>
          <w:jc w:val="center"/>
        </w:trPr>
        <w:tc>
          <w:tcPr>
            <w:tcW w:w="0" w:type="auto"/>
            <w:shd w:val="clear" w:color="auto" w:fill="auto"/>
            <w:vAlign w:val="center"/>
            <w:hideMark/>
          </w:tcPr>
          <w:p w14:paraId="73B49A00" w14:textId="77777777" w:rsidR="00621C29" w:rsidRPr="00621C29" w:rsidRDefault="00621C29" w:rsidP="00621C29">
            <w:pPr>
              <w:spacing w:after="0" w:line="240" w:lineRule="auto"/>
              <w:rPr>
                <w:rFonts w:ascii="Tahoma" w:eastAsia="Times New Roman" w:hAnsi="Tahoma" w:cs="Tahoma"/>
                <w:color w:val="495260"/>
                <w:sz w:val="21"/>
                <w:szCs w:val="21"/>
              </w:rPr>
            </w:pPr>
            <w:r w:rsidRPr="00621C29">
              <w:rPr>
                <w:rFonts w:ascii="Tahoma" w:eastAsia="Times New Roman" w:hAnsi="Tahoma" w:cs="Tahoma"/>
                <w:noProof/>
                <w:color w:val="495260"/>
                <w:sz w:val="21"/>
                <w:szCs w:val="21"/>
              </w:rPr>
              <w:drawing>
                <wp:inline distT="0" distB="0" distL="0" distR="0" wp14:anchorId="67694AB0" wp14:editId="4D6328D0">
                  <wp:extent cx="7239000" cy="190500"/>
                  <wp:effectExtent l="0" t="0" r="0" b="0"/>
                  <wp:docPr id="1" name="Picture 1" descr="http://www.moconed.com/images/homepag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coned.com/images/homepage0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0" cy="190500"/>
                          </a:xfrm>
                          <a:prstGeom prst="rect">
                            <a:avLst/>
                          </a:prstGeom>
                          <a:noFill/>
                          <a:ln>
                            <a:noFill/>
                          </a:ln>
                        </pic:spPr>
                      </pic:pic>
                    </a:graphicData>
                  </a:graphic>
                </wp:inline>
              </w:drawing>
            </w:r>
          </w:p>
        </w:tc>
      </w:tr>
      <w:tr w:rsidR="00621C29" w:rsidRPr="00621C29" w14:paraId="3D5A4444" w14:textId="77777777" w:rsidTr="00621C29">
        <w:trPr>
          <w:tblCellSpacing w:w="0" w:type="dxa"/>
          <w:jc w:val="center"/>
        </w:trPr>
        <w:tc>
          <w:tcPr>
            <w:tcW w:w="0" w:type="auto"/>
            <w:shd w:val="clear" w:color="auto" w:fill="auto"/>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600"/>
              <w:gridCol w:w="10800"/>
            </w:tblGrid>
            <w:tr w:rsidR="00621C29" w:rsidRPr="00621C29" w14:paraId="2DC4A980" w14:textId="77777777">
              <w:trPr>
                <w:tblCellSpacing w:w="0" w:type="dxa"/>
                <w:jc w:val="center"/>
              </w:trPr>
              <w:tc>
                <w:tcPr>
                  <w:tcW w:w="0" w:type="auto"/>
                  <w:gridSpan w:val="2"/>
                  <w:vAlign w:val="center"/>
                  <w:hideMark/>
                </w:tcPr>
                <w:p w14:paraId="707AB027" w14:textId="77777777" w:rsidR="00621C29" w:rsidRPr="00621C29" w:rsidRDefault="00621C29" w:rsidP="00621C29">
                  <w:pPr>
                    <w:spacing w:after="0" w:line="240" w:lineRule="auto"/>
                    <w:rPr>
                      <w:rFonts w:ascii="Tahoma" w:eastAsia="Times New Roman" w:hAnsi="Tahoma" w:cs="Tahoma"/>
                      <w:b/>
                      <w:bCs/>
                      <w:color w:val="368EA9"/>
                      <w:sz w:val="18"/>
                      <w:szCs w:val="18"/>
                    </w:rPr>
                  </w:pPr>
                  <w:r w:rsidRPr="00621C29">
                    <w:rPr>
                      <w:rFonts w:ascii="Tahoma" w:eastAsia="Times New Roman" w:hAnsi="Tahoma" w:cs="Tahoma"/>
                      <w:b/>
                      <w:bCs/>
                      <w:color w:val="368EA9"/>
                      <w:sz w:val="18"/>
                      <w:szCs w:val="18"/>
                    </w:rPr>
                    <w:t>Students</w:t>
                  </w:r>
                </w:p>
              </w:tc>
            </w:tr>
            <w:tr w:rsidR="00621C29" w:rsidRPr="00621C29" w14:paraId="3151B3F5" w14:textId="77777777">
              <w:trPr>
                <w:tblCellSpacing w:w="0" w:type="dxa"/>
                <w:jc w:val="center"/>
              </w:trPr>
              <w:tc>
                <w:tcPr>
                  <w:tcW w:w="600" w:type="dxa"/>
                  <w:vAlign w:val="center"/>
                  <w:hideMark/>
                </w:tcPr>
                <w:p w14:paraId="6CA76B8A" w14:textId="77777777" w:rsidR="00621C29" w:rsidRPr="00621C29" w:rsidRDefault="00621C29" w:rsidP="00621C29">
                  <w:pPr>
                    <w:spacing w:after="0" w:line="240" w:lineRule="auto"/>
                    <w:rPr>
                      <w:rFonts w:ascii="Tahoma" w:eastAsia="Times New Roman" w:hAnsi="Tahoma" w:cs="Tahoma"/>
                      <w:b/>
                      <w:bCs/>
                      <w:color w:val="368EA9"/>
                      <w:sz w:val="18"/>
                      <w:szCs w:val="18"/>
                    </w:rPr>
                  </w:pPr>
                </w:p>
              </w:tc>
              <w:tc>
                <w:tcPr>
                  <w:tcW w:w="10800" w:type="dxa"/>
                  <w:vAlign w:val="center"/>
                  <w:hideMark/>
                </w:tcPr>
                <w:p w14:paraId="6DD57761" w14:textId="77777777" w:rsidR="00621C29" w:rsidRPr="00621C29" w:rsidRDefault="00621C29" w:rsidP="00621C29">
                  <w:pPr>
                    <w:spacing w:after="0" w:line="240" w:lineRule="auto"/>
                    <w:rPr>
                      <w:rFonts w:ascii="Tahoma" w:eastAsia="Times New Roman" w:hAnsi="Tahoma" w:cs="Tahoma"/>
                      <w:b/>
                      <w:bCs/>
                      <w:color w:val="368EA9"/>
                      <w:sz w:val="18"/>
                      <w:szCs w:val="18"/>
                    </w:rPr>
                  </w:pPr>
                  <w:r w:rsidRPr="00621C29">
                    <w:rPr>
                      <w:rFonts w:ascii="Tahoma" w:eastAsia="Times New Roman" w:hAnsi="Tahoma" w:cs="Tahoma"/>
                      <w:b/>
                      <w:bCs/>
                      <w:color w:val="368EA9"/>
                      <w:sz w:val="18"/>
                      <w:szCs w:val="18"/>
                    </w:rPr>
                    <w:t>Discipline</w:t>
                  </w:r>
                </w:p>
              </w:tc>
            </w:tr>
          </w:tbl>
          <w:p w14:paraId="26719140" w14:textId="77777777" w:rsidR="00621C29" w:rsidRPr="00621C29" w:rsidRDefault="00621C29" w:rsidP="00621C29">
            <w:pPr>
              <w:spacing w:after="0" w:line="240" w:lineRule="auto"/>
              <w:rPr>
                <w:rFonts w:ascii="Tahoma" w:eastAsia="Times New Roman" w:hAnsi="Tahoma" w:cs="Tahoma"/>
                <w:vanish/>
                <w:color w:val="495260"/>
                <w:sz w:val="18"/>
                <w:szCs w:val="18"/>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621C29" w:rsidRPr="00621C29" w14:paraId="7934AC86" w14:textId="77777777">
              <w:trPr>
                <w:tblCellSpacing w:w="0" w:type="dxa"/>
                <w:jc w:val="center"/>
              </w:trPr>
              <w:tc>
                <w:tcPr>
                  <w:tcW w:w="0" w:type="auto"/>
                  <w:vAlign w:val="center"/>
                  <w:hideMark/>
                </w:tcPr>
                <w:tbl>
                  <w:tblPr>
                    <w:tblW w:w="11400" w:type="dxa"/>
                    <w:tblCellSpacing w:w="0" w:type="dxa"/>
                    <w:tblCellMar>
                      <w:left w:w="0" w:type="dxa"/>
                      <w:right w:w="0" w:type="dxa"/>
                    </w:tblCellMar>
                    <w:tblLook w:val="04A0" w:firstRow="1" w:lastRow="0" w:firstColumn="1" w:lastColumn="0" w:noHBand="0" w:noVBand="1"/>
                  </w:tblPr>
                  <w:tblGrid>
                    <w:gridCol w:w="11400"/>
                  </w:tblGrid>
                  <w:tr w:rsidR="00621C29" w:rsidRPr="00621C29" w14:paraId="7C12D716" w14:textId="77777777">
                    <w:trPr>
                      <w:tblCellSpacing w:w="0" w:type="dxa"/>
                    </w:trPr>
                    <w:tc>
                      <w:tcPr>
                        <w:tcW w:w="0" w:type="auto"/>
                        <w:vAlign w:val="center"/>
                        <w:hideMark/>
                      </w:tcPr>
                      <w:p w14:paraId="6DDE1685" w14:textId="77777777" w:rsidR="00621C29" w:rsidRPr="00621C29" w:rsidRDefault="00621C29" w:rsidP="00621C29">
                        <w:pPr>
                          <w:spacing w:after="0" w:line="240" w:lineRule="auto"/>
                          <w:rPr>
                            <w:rFonts w:ascii="Tahoma" w:eastAsia="Times New Roman" w:hAnsi="Tahoma" w:cs="Tahoma"/>
                            <w:color w:val="495260"/>
                            <w:sz w:val="18"/>
                            <w:szCs w:val="18"/>
                          </w:rPr>
                        </w:pPr>
                        <w:r w:rsidRPr="00621C29">
                          <w:rPr>
                            <w:rFonts w:ascii="Tahoma" w:eastAsia="Times New Roman" w:hAnsi="Tahoma" w:cs="Tahoma"/>
                            <w:color w:val="495260"/>
                            <w:sz w:val="18"/>
                            <w:szCs w:val="18"/>
                          </w:rPr>
                          <w:t> </w:t>
                        </w:r>
                      </w:p>
                    </w:tc>
                  </w:tr>
                  <w:tr w:rsidR="00621C29" w:rsidRPr="00621C29" w14:paraId="5C9349BD" w14:textId="77777777">
                    <w:trPr>
                      <w:tblCellSpacing w:w="0" w:type="dxa"/>
                    </w:trPr>
                    <w:tc>
                      <w:tcPr>
                        <w:tcW w:w="0" w:type="auto"/>
                        <w:vAlign w:val="center"/>
                        <w:hideMark/>
                      </w:tcPr>
                      <w:p w14:paraId="79D2610C" w14:textId="77777777" w:rsidR="00621C29" w:rsidRPr="00621C29" w:rsidRDefault="00621C29" w:rsidP="00621C29">
                        <w:pPr>
                          <w:spacing w:after="210" w:line="240" w:lineRule="auto"/>
                          <w:jc w:val="both"/>
                          <w:rPr>
                            <w:rFonts w:ascii="Tahoma" w:eastAsia="Times New Roman" w:hAnsi="Tahoma" w:cs="Tahoma"/>
                            <w:color w:val="495260"/>
                            <w:sz w:val="18"/>
                            <w:szCs w:val="18"/>
                          </w:rPr>
                        </w:pPr>
                        <w:r w:rsidRPr="00621C29">
                          <w:rPr>
                            <w:rFonts w:ascii="Tahoma" w:eastAsia="Times New Roman" w:hAnsi="Tahoma" w:cs="Tahoma"/>
                            <w:color w:val="495260"/>
                            <w:sz w:val="18"/>
                            <w:szCs w:val="18"/>
                          </w:rPr>
                          <w:t xml:space="preserve">The District is committed to maintaining a learning and working environment free of any form of bullying or intimidation.  Bullying is strictly prohibited on school grounds, or school time, at a school sponsored activity or in a school related context.  Bullying is the intentional action by an individual or group of individuals to inflict intimidation, unwanted aggressive behavior, or harassment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Bullying may consist of physical actions, including gestures, or oral, cyberbullying, electronic, or written communication, and any threat of retaliation for reporting acts of bullying.     </w:t>
                        </w:r>
                      </w:p>
                      <w:p w14:paraId="16E20585" w14:textId="77777777" w:rsidR="00621C29" w:rsidRPr="00621C29" w:rsidRDefault="00621C29" w:rsidP="00621C29">
                        <w:pPr>
                          <w:spacing w:after="210" w:line="240" w:lineRule="auto"/>
                          <w:jc w:val="both"/>
                          <w:rPr>
                            <w:rFonts w:ascii="Tahoma" w:eastAsia="Times New Roman" w:hAnsi="Tahoma" w:cs="Tahoma"/>
                            <w:color w:val="495260"/>
                            <w:sz w:val="18"/>
                            <w:szCs w:val="18"/>
                          </w:rPr>
                        </w:pPr>
                        <w:r w:rsidRPr="00621C29">
                          <w:rPr>
                            <w:rFonts w:ascii="Tahoma" w:eastAsia="Times New Roman" w:hAnsi="Tahoma" w:cs="Tahoma"/>
                            <w:color w:val="495260"/>
                            <w:sz w:val="18"/>
                            <w:szCs w:val="18"/>
                          </w:rPr>
                          <w:t xml:space="preserve">Cyberbullying means bullying as defined above through the transmission of a communication including, but not limited to, a message, text, sound, or image by means of an electronic device including, but not limited to, a telephone, wireless telephone, or other wireless communication device, computer, or pager. The District may prohibit and discipline for cyberbullying that originates on any District campus or at a District activity if the electronic communication was made using the school's technological resources, if there is a sufficient nexus to the educational environment, or if the electronic communication was made on the District’s campus or at a District activity using the student's own personal technological resources. Further, students who engage in significant acts of misconduct off campus which materially and adversely impact the education of District students will be subject to discipline. </w:t>
                        </w:r>
                      </w:p>
                      <w:p w14:paraId="77FA720A" w14:textId="77777777" w:rsidR="00621C29" w:rsidRPr="00621C29" w:rsidRDefault="00621C29" w:rsidP="00621C29">
                        <w:pPr>
                          <w:spacing w:after="0" w:line="240" w:lineRule="auto"/>
                          <w:jc w:val="both"/>
                          <w:rPr>
                            <w:rFonts w:ascii="Tahoma" w:eastAsia="Times New Roman" w:hAnsi="Tahoma" w:cs="Tahoma"/>
                            <w:color w:val="495260"/>
                            <w:sz w:val="18"/>
                            <w:szCs w:val="18"/>
                          </w:rPr>
                        </w:pPr>
                        <w:r w:rsidRPr="00621C29">
                          <w:rPr>
                            <w:rFonts w:ascii="Tahoma" w:eastAsia="Times New Roman" w:hAnsi="Tahoma" w:cs="Tahoma"/>
                            <w:color w:val="495260"/>
                            <w:sz w:val="18"/>
                            <w:szCs w:val="18"/>
                          </w:rPr>
                          <w:t>Bullying, as defined in this policy, is strictly prohibited.  Students are encouraged to report any incident of bullying which they have witnessed or incurred, by contacting their building principal. District employees are required to report any instance of bullying of which the employee has witnessed within two (2) school days of the occurrence. Employees shall report the occurrence to the building principal, who is the person the District designates to receive reports of incidents of bullying.  A principal who receives a report of an incident of bullying shall initiate an investigation into the allegations within two (2) school days of receipt of the report.  The principal may assign other employees to assist in the investigation, or request that the superintendent assign an outside investigator. The investigation shall be completed within ten school days from the date of the written report of bullying unless good cause exists to extend the investigation. No employee or student who reports an act of bullying shall be subject to reprisal or retaliation for making such a report. Any person who engages in reprisal or retaliation against an employee or student who reports an act of bullying shall be subject to disciplinary action.</w:t>
                        </w:r>
                        <w:r w:rsidRPr="00621C29">
                          <w:rPr>
                            <w:rFonts w:ascii="Tahoma" w:eastAsia="Times New Roman" w:hAnsi="Tahoma" w:cs="Tahoma"/>
                            <w:color w:val="495260"/>
                            <w:sz w:val="18"/>
                            <w:szCs w:val="18"/>
                          </w:rPr>
                          <w:br/>
                          <w:t> </w:t>
                        </w:r>
                        <w:r w:rsidRPr="00621C29">
                          <w:rPr>
                            <w:rFonts w:ascii="Tahoma" w:eastAsia="Times New Roman" w:hAnsi="Tahoma" w:cs="Tahoma"/>
                            <w:color w:val="495260"/>
                            <w:sz w:val="18"/>
                            <w:szCs w:val="18"/>
                          </w:rPr>
                          <w:br/>
                          <w:t xml:space="preserve">Students who are found to have violated this policy will be subject to consequences depending on factors such as: age of student(s), degree of harm, severity of behavior, number of incidences, etc.  Possible consequences to a student for a violation of this policy include: loss of privileges, classroom detention, conference with teacher, parents contacted, conference with principal, in-school suspension, out-of-school suspension, expulsion and law enforcement contacted. </w:t>
                        </w:r>
                      </w:p>
                      <w:p w14:paraId="5DF5E8B6" w14:textId="77777777" w:rsidR="00621C29" w:rsidRPr="00621C29" w:rsidRDefault="00621C29" w:rsidP="00621C29">
                        <w:pPr>
                          <w:spacing w:after="210" w:line="240" w:lineRule="auto"/>
                          <w:jc w:val="both"/>
                          <w:rPr>
                            <w:rFonts w:ascii="Tahoma" w:eastAsia="Times New Roman" w:hAnsi="Tahoma" w:cs="Tahoma"/>
                            <w:color w:val="495260"/>
                            <w:sz w:val="18"/>
                            <w:szCs w:val="18"/>
                          </w:rPr>
                        </w:pPr>
                        <w:r w:rsidRPr="00621C29">
                          <w:rPr>
                            <w:rFonts w:ascii="Tahoma" w:eastAsia="Times New Roman" w:hAnsi="Tahoma" w:cs="Tahoma"/>
                            <w:color w:val="495260"/>
                            <w:sz w:val="18"/>
                            <w:szCs w:val="18"/>
                          </w:rPr>
                          <w:t xml:space="preserve">The District shall give annual notice of the policy to students, parents or guardians, and staff.  This policy shall be included in all student handbooks.  This policy shall also be posted on the District’s web page (as a Board policy) and a copy shall be placed in the District Administrative Office.   </w:t>
                        </w:r>
                      </w:p>
                      <w:p w14:paraId="3DED6A5B" w14:textId="77777777" w:rsidR="00621C29" w:rsidRPr="00621C29" w:rsidRDefault="00621C29" w:rsidP="00621C29">
                        <w:pPr>
                          <w:spacing w:after="210" w:line="240" w:lineRule="auto"/>
                          <w:jc w:val="both"/>
                          <w:rPr>
                            <w:rFonts w:ascii="Tahoma" w:eastAsia="Times New Roman" w:hAnsi="Tahoma" w:cs="Tahoma"/>
                            <w:color w:val="495260"/>
                            <w:sz w:val="18"/>
                            <w:szCs w:val="18"/>
                          </w:rPr>
                        </w:pPr>
                        <w:r w:rsidRPr="00621C29">
                          <w:rPr>
                            <w:rFonts w:ascii="Tahoma" w:eastAsia="Times New Roman" w:hAnsi="Tahoma" w:cs="Tahoma"/>
                            <w:color w:val="495260"/>
                            <w:sz w:val="18"/>
                            <w:szCs w:val="18"/>
                          </w:rPr>
                          <w:t xml:space="preserve">The District shall provide information and appropriate training to District staff who have significant contact with students regarding the policy. All staff with significant student contact shall be trained on the requirements of this policy on an annual basis.   </w:t>
                        </w:r>
                      </w:p>
                      <w:p w14:paraId="5815EF89" w14:textId="77777777" w:rsidR="00621C29" w:rsidRPr="00621C29" w:rsidRDefault="00621C29" w:rsidP="00621C29">
                        <w:pPr>
                          <w:spacing w:after="210" w:line="240" w:lineRule="auto"/>
                          <w:jc w:val="both"/>
                          <w:rPr>
                            <w:rFonts w:ascii="Tahoma" w:eastAsia="Times New Roman" w:hAnsi="Tahoma" w:cs="Tahoma"/>
                            <w:color w:val="495260"/>
                            <w:sz w:val="18"/>
                            <w:szCs w:val="18"/>
                          </w:rPr>
                        </w:pPr>
                        <w:r w:rsidRPr="00621C29">
                          <w:rPr>
                            <w:rFonts w:ascii="Tahoma" w:eastAsia="Times New Roman" w:hAnsi="Tahoma" w:cs="Tahoma"/>
                            <w:color w:val="495260"/>
                            <w:sz w:val="18"/>
                            <w:szCs w:val="18"/>
                          </w:rPr>
                          <w:t>The District shall provide education and information to students regarding bullying, including information regarding this policy prohibiting bullying, the harmful effects of bullying, and  other applicable initiatives to address bullying, including student peer-to-peer initiatives to provide accountability and policy enforcement for those found to have engaged in bullying, reprisal, or retaliation against any person who reports an act of bullying. The District shall instruct its school counselors, school social workers, licensed social workers, mental health professionals, and school psychologists to educate students who are victims of bullying on techniques for students to overcome bullying's negative effects. Such techniques include but are not limited to, cultivating the student's self-worth and self-esteem; teaching the student to defend himself or herself assertively and effectively; helping the student develop social skills or encouraging the student to develop an internal locus of control.  District administrators will implement programs and other initiatives to address bullying, to respond to such conduct in a manner that does not stigmatize the victim, and to make resources or referrals available to victims of bullying.</w:t>
                        </w:r>
                      </w:p>
                    </w:tc>
                  </w:tr>
                </w:tbl>
                <w:p w14:paraId="1980B1E0" w14:textId="77777777" w:rsidR="00621C29" w:rsidRPr="00621C29" w:rsidRDefault="00621C29" w:rsidP="00621C29">
                  <w:pPr>
                    <w:spacing w:after="0" w:line="240" w:lineRule="auto"/>
                    <w:rPr>
                      <w:rFonts w:ascii="Tahoma" w:eastAsia="Times New Roman" w:hAnsi="Tahoma" w:cs="Tahoma"/>
                      <w:color w:val="495260"/>
                      <w:sz w:val="18"/>
                      <w:szCs w:val="18"/>
                    </w:rPr>
                  </w:pPr>
                </w:p>
              </w:tc>
            </w:tr>
          </w:tbl>
          <w:p w14:paraId="74CB7BD3" w14:textId="77777777" w:rsidR="00621C29" w:rsidRPr="00621C29" w:rsidRDefault="00621C29" w:rsidP="00621C29">
            <w:pPr>
              <w:spacing w:after="0" w:line="240" w:lineRule="auto"/>
              <w:rPr>
                <w:rFonts w:ascii="Tahoma" w:eastAsia="Times New Roman" w:hAnsi="Tahoma" w:cs="Tahoma"/>
                <w:color w:val="495260"/>
                <w:sz w:val="18"/>
                <w:szCs w:val="18"/>
              </w:rPr>
            </w:pPr>
          </w:p>
        </w:tc>
      </w:tr>
    </w:tbl>
    <w:p w14:paraId="4AF9ACDC" w14:textId="77777777" w:rsidR="006E4C1F" w:rsidRDefault="006E4C1F"/>
    <w:sectPr w:rsidR="006E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29"/>
    <w:rsid w:val="003957CC"/>
    <w:rsid w:val="00621C29"/>
    <w:rsid w:val="006E4C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4018"/>
  <w15:chartTrackingRefBased/>
  <w15:docId w15:val="{3691C3D6-EE92-4853-88AE-5D709679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5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811</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Calhoun R-VIII</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Amber Franklin</cp:lastModifiedBy>
  <cp:revision>2</cp:revision>
  <dcterms:created xsi:type="dcterms:W3CDTF">2019-03-19T02:03:00Z</dcterms:created>
  <dcterms:modified xsi:type="dcterms:W3CDTF">2019-03-19T02:03:00Z</dcterms:modified>
</cp:coreProperties>
</file>