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CF76E8">
            <w:r>
              <w:t>Block</w:t>
            </w:r>
            <w:r w:rsidR="00560C0F">
              <w:t>(s)</w:t>
            </w:r>
            <w:r w:rsidR="009E4453" w:rsidRPr="009E4453">
              <w:t>:</w:t>
            </w:r>
            <w:r w:rsidR="009E4453">
              <w:t xml:space="preserve"> </w:t>
            </w:r>
            <w:r w:rsidR="00152403">
              <w:t xml:space="preserve"> </w:t>
            </w:r>
            <w:r w:rsidR="000F24CB">
              <w:t>1</w:t>
            </w:r>
            <w:r w:rsidRPr="00CF76E8">
              <w:rPr>
                <w:vertAlign w:val="superscript"/>
              </w:rPr>
              <w:t>st</w:t>
            </w:r>
            <w:r>
              <w:t>, 3</w:t>
            </w:r>
            <w:r w:rsidRPr="00CF76E8">
              <w:rPr>
                <w:vertAlign w:val="superscript"/>
              </w:rPr>
              <w:t>rd</w:t>
            </w:r>
            <w:r>
              <w:t xml:space="preserve"> &amp; 4th</w:t>
            </w:r>
          </w:p>
        </w:tc>
        <w:tc>
          <w:tcPr>
            <w:tcW w:w="3599" w:type="dxa"/>
          </w:tcPr>
          <w:p w:rsidR="009E4453" w:rsidRPr="009E4453" w:rsidRDefault="009E4453" w:rsidP="003A731E">
            <w:r w:rsidRPr="009E4453">
              <w:t xml:space="preserve">Week </w:t>
            </w:r>
            <w:r w:rsidR="00560C0F">
              <w:t>of</w:t>
            </w:r>
            <w:r w:rsidRPr="009E4453">
              <w:t>:</w:t>
            </w:r>
            <w:r w:rsidR="00033773">
              <w:t xml:space="preserve"> </w:t>
            </w:r>
            <w:r w:rsidR="003A731E">
              <w:t>January 4, 2016</w:t>
            </w:r>
          </w:p>
        </w:tc>
      </w:tr>
    </w:tbl>
    <w:p w:rsidR="009E4453" w:rsidRDefault="009E4453"/>
    <w:tbl>
      <w:tblPr>
        <w:tblStyle w:val="TableGrid"/>
        <w:tblW w:w="14400" w:type="dxa"/>
        <w:tblLook w:val="04A0" w:firstRow="1" w:lastRow="0" w:firstColumn="1" w:lastColumn="0" w:noHBand="0" w:noVBand="1"/>
      </w:tblPr>
      <w:tblGrid>
        <w:gridCol w:w="526"/>
        <w:gridCol w:w="1392"/>
        <w:gridCol w:w="1382"/>
        <w:gridCol w:w="1322"/>
        <w:gridCol w:w="1485"/>
        <w:gridCol w:w="1421"/>
        <w:gridCol w:w="2010"/>
        <w:gridCol w:w="1846"/>
        <w:gridCol w:w="1350"/>
        <w:gridCol w:w="1666"/>
      </w:tblGrid>
      <w:tr w:rsidR="00DF62ED" w:rsidTr="00E52BC6">
        <w:tc>
          <w:tcPr>
            <w:tcW w:w="526" w:type="dxa"/>
          </w:tcPr>
          <w:p w:rsidR="00DF62ED" w:rsidRDefault="00DF62ED"/>
        </w:tc>
        <w:tc>
          <w:tcPr>
            <w:tcW w:w="1392" w:type="dxa"/>
            <w:vAlign w:val="center"/>
          </w:tcPr>
          <w:p w:rsidR="00DF62ED" w:rsidRDefault="00DF62ED" w:rsidP="004B7AC6">
            <w:pPr>
              <w:jc w:val="center"/>
            </w:pPr>
            <w:r>
              <w:t>Standards</w:t>
            </w:r>
          </w:p>
        </w:tc>
        <w:tc>
          <w:tcPr>
            <w:tcW w:w="1382" w:type="dxa"/>
            <w:tcBorders>
              <w:right w:val="nil"/>
            </w:tcBorders>
            <w:vAlign w:val="center"/>
          </w:tcPr>
          <w:p w:rsidR="00DF62ED" w:rsidRDefault="00DF62ED" w:rsidP="008C3ACA">
            <w:pPr>
              <w:jc w:val="center"/>
            </w:pPr>
            <w:r>
              <w:t>Goals</w:t>
            </w:r>
          </w:p>
        </w:tc>
        <w:tc>
          <w:tcPr>
            <w:tcW w:w="1322"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21"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10" w:type="dxa"/>
            <w:tcBorders>
              <w:right w:val="nil"/>
            </w:tcBorders>
            <w:vAlign w:val="center"/>
          </w:tcPr>
          <w:p w:rsidR="00DF62ED" w:rsidRDefault="00DF62ED" w:rsidP="00327E9D">
            <w:pPr>
              <w:jc w:val="center"/>
            </w:pPr>
            <w:r>
              <w:t>Activities</w:t>
            </w:r>
          </w:p>
        </w:tc>
        <w:tc>
          <w:tcPr>
            <w:tcW w:w="1846"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7C49A4" w:rsidTr="00D44C42">
        <w:trPr>
          <w:cantSplit/>
          <w:trHeight w:val="1646"/>
        </w:trPr>
        <w:tc>
          <w:tcPr>
            <w:tcW w:w="526" w:type="dxa"/>
            <w:textDirection w:val="btLr"/>
            <w:vAlign w:val="center"/>
          </w:tcPr>
          <w:p w:rsidR="007C49A4" w:rsidRPr="00560C0F" w:rsidRDefault="007C49A4" w:rsidP="007C49A4">
            <w:pPr>
              <w:ind w:left="113" w:right="113"/>
              <w:jc w:val="center"/>
              <w:rPr>
                <w:b/>
              </w:rPr>
            </w:pPr>
            <w:r>
              <w:rPr>
                <w:b/>
              </w:rPr>
              <w:t>Mon</w:t>
            </w:r>
            <w:r w:rsidRPr="00560C0F">
              <w:rPr>
                <w:b/>
              </w:rPr>
              <w:t>day</w:t>
            </w:r>
          </w:p>
        </w:tc>
        <w:tc>
          <w:tcPr>
            <w:tcW w:w="1392" w:type="dxa"/>
          </w:tcPr>
          <w:p w:rsidR="007C49A4" w:rsidRDefault="007C49A4" w:rsidP="007C49A4">
            <w:r>
              <w:t>ELACC 11-12</w:t>
            </w:r>
          </w:p>
          <w:p w:rsidR="007C49A4" w:rsidRDefault="007C49A4" w:rsidP="007C49A4">
            <w:r>
              <w:t>RL 1.1; 3.1</w:t>
            </w:r>
          </w:p>
          <w:p w:rsidR="007C49A4" w:rsidRDefault="007C49A4" w:rsidP="007C49A4">
            <w:r>
              <w:t>RI 10.1</w:t>
            </w:r>
          </w:p>
        </w:tc>
        <w:tc>
          <w:tcPr>
            <w:tcW w:w="2704" w:type="dxa"/>
            <w:gridSpan w:val="2"/>
          </w:tcPr>
          <w:p w:rsidR="007C49A4" w:rsidRDefault="0091339D" w:rsidP="0091339D">
            <w:r>
              <w:t xml:space="preserve">Identify central ideas of a text; </w:t>
            </w:r>
            <w:r w:rsidR="00D31312">
              <w:t>Use summarizing strategies to</w:t>
            </w:r>
            <w:r w:rsidR="004E38AD">
              <w:t xml:space="preserve"> </w:t>
            </w:r>
            <w:r w:rsidR="00D31312">
              <w:t xml:space="preserve">find the central ideas of an excerpt from Henry David Thoreau’s </w:t>
            </w:r>
            <w:r w:rsidR="00D31312" w:rsidRPr="00D31312">
              <w:rPr>
                <w:i/>
              </w:rPr>
              <w:t>Walden</w:t>
            </w:r>
          </w:p>
        </w:tc>
        <w:tc>
          <w:tcPr>
            <w:tcW w:w="2906" w:type="dxa"/>
            <w:gridSpan w:val="2"/>
          </w:tcPr>
          <w:p w:rsidR="007C49A4" w:rsidRDefault="0091339D" w:rsidP="008C05C9">
            <w:r>
              <w:t>Have students read the information about the author – a transcendentalist; explain transcendentalism; determining central ideas; author’s style; purpose , and analyzing language</w:t>
            </w:r>
          </w:p>
        </w:tc>
        <w:tc>
          <w:tcPr>
            <w:tcW w:w="3856" w:type="dxa"/>
            <w:gridSpan w:val="2"/>
          </w:tcPr>
          <w:p w:rsidR="007C49A4" w:rsidRDefault="0091339D" w:rsidP="008C05C9">
            <w:r>
              <w:t xml:space="preserve">Read, summarize, and respond to teacher’s questions; learn that summarizing text means restating the central ideas in one’s own words; learn author’s purpose or reason for writing; learn about inferring of deducing from evidence; author’s style </w:t>
            </w:r>
            <w:r w:rsidR="00D31312">
              <w:t>–</w:t>
            </w:r>
            <w:r>
              <w:t xml:space="preserve"> </w:t>
            </w:r>
            <w:r w:rsidR="00D31312">
              <w:t>the way the author expresses his or her ideas.</w:t>
            </w:r>
          </w:p>
        </w:tc>
        <w:tc>
          <w:tcPr>
            <w:tcW w:w="3016" w:type="dxa"/>
            <w:gridSpan w:val="2"/>
          </w:tcPr>
          <w:p w:rsidR="007C49A4" w:rsidRDefault="00D31312" w:rsidP="008C05C9">
            <w:r>
              <w:t>The notes/ answers that students write in response to the questions posed during their reading and analyzing.</w:t>
            </w:r>
          </w:p>
        </w:tc>
      </w:tr>
      <w:tr w:rsidR="00D31312" w:rsidTr="00F43A3F">
        <w:trPr>
          <w:cantSplit/>
          <w:trHeight w:val="1493"/>
        </w:trPr>
        <w:tc>
          <w:tcPr>
            <w:tcW w:w="526" w:type="dxa"/>
            <w:textDirection w:val="btLr"/>
            <w:vAlign w:val="center"/>
          </w:tcPr>
          <w:p w:rsidR="00D31312" w:rsidRPr="00560C0F" w:rsidRDefault="00D31312" w:rsidP="00D31312">
            <w:pPr>
              <w:ind w:left="113" w:right="113"/>
              <w:jc w:val="center"/>
              <w:rPr>
                <w:b/>
              </w:rPr>
            </w:pPr>
            <w:r>
              <w:rPr>
                <w:b/>
              </w:rPr>
              <w:t>Tue</w:t>
            </w:r>
            <w:r w:rsidRPr="00560C0F">
              <w:rPr>
                <w:b/>
              </w:rPr>
              <w:t>sday</w:t>
            </w:r>
          </w:p>
        </w:tc>
        <w:tc>
          <w:tcPr>
            <w:tcW w:w="1392" w:type="dxa"/>
          </w:tcPr>
          <w:p w:rsidR="00D31312" w:rsidRDefault="00D31312" w:rsidP="00D31312">
            <w:r>
              <w:t>ELACC 11-12</w:t>
            </w:r>
          </w:p>
          <w:p w:rsidR="00D31312" w:rsidRDefault="00D31312" w:rsidP="00D31312">
            <w:r>
              <w:t>RL 1.1; 3.1</w:t>
            </w:r>
          </w:p>
          <w:p w:rsidR="00D31312" w:rsidRDefault="00D31312" w:rsidP="00D31312">
            <w:r>
              <w:t>RI 10.1</w:t>
            </w:r>
          </w:p>
        </w:tc>
        <w:tc>
          <w:tcPr>
            <w:tcW w:w="2704" w:type="dxa"/>
            <w:gridSpan w:val="2"/>
          </w:tcPr>
          <w:p w:rsidR="00D31312" w:rsidRDefault="00D31312" w:rsidP="00D31312">
            <w:r>
              <w:t xml:space="preserve">Identify central ideas of a text; Use summarizing strategies </w:t>
            </w:r>
            <w:r w:rsidR="008D4F84">
              <w:t>to find</w:t>
            </w:r>
            <w:r>
              <w:t xml:space="preserve"> the central ideas of an excerpt from Henry David Thoreau’s </w:t>
            </w:r>
            <w:r w:rsidRPr="00D31312">
              <w:rPr>
                <w:i/>
              </w:rPr>
              <w:t>Walden</w:t>
            </w:r>
          </w:p>
        </w:tc>
        <w:tc>
          <w:tcPr>
            <w:tcW w:w="2906" w:type="dxa"/>
            <w:gridSpan w:val="2"/>
          </w:tcPr>
          <w:p w:rsidR="00D31312" w:rsidRDefault="00D31312" w:rsidP="00D31312">
            <w:r>
              <w:t>Have students read the information about the author – a transcendentalist; explain transcendentalism; determining central ideas; author’s style; purpose , and analyzing language</w:t>
            </w:r>
          </w:p>
        </w:tc>
        <w:tc>
          <w:tcPr>
            <w:tcW w:w="3856" w:type="dxa"/>
            <w:gridSpan w:val="2"/>
          </w:tcPr>
          <w:p w:rsidR="00D31312" w:rsidRDefault="00D31312" w:rsidP="00D31312">
            <w:r>
              <w:t>Read, summarize, and respond to teacher’s questions; learn that summarizing text means restating the central ideas in one’s own words; learn author’s purpose or reason for writing; learn about inferring of deducing from evidence; author’s style – the way the author expresses his or her ideas.</w:t>
            </w:r>
          </w:p>
        </w:tc>
        <w:tc>
          <w:tcPr>
            <w:tcW w:w="3016" w:type="dxa"/>
            <w:gridSpan w:val="2"/>
          </w:tcPr>
          <w:p w:rsidR="00D31312" w:rsidRDefault="00D31312" w:rsidP="00D31312">
            <w:r>
              <w:t>The notes/ answers that students write in response to the questions posed during their reading and analyzing.</w:t>
            </w:r>
          </w:p>
        </w:tc>
      </w:tr>
      <w:tr w:rsidR="004E38AD" w:rsidTr="00E52BC6">
        <w:trPr>
          <w:cantSplit/>
          <w:trHeight w:val="1700"/>
        </w:trPr>
        <w:tc>
          <w:tcPr>
            <w:tcW w:w="526" w:type="dxa"/>
            <w:textDirection w:val="btLr"/>
            <w:vAlign w:val="center"/>
          </w:tcPr>
          <w:p w:rsidR="004E38AD" w:rsidRDefault="004E38AD" w:rsidP="004E38AD">
            <w:pPr>
              <w:ind w:left="113" w:right="113"/>
              <w:jc w:val="center"/>
              <w:rPr>
                <w:b/>
              </w:rPr>
            </w:pPr>
            <w:r>
              <w:rPr>
                <w:b/>
              </w:rPr>
              <w:t>Wednesday</w:t>
            </w:r>
          </w:p>
        </w:tc>
        <w:tc>
          <w:tcPr>
            <w:tcW w:w="1392" w:type="dxa"/>
          </w:tcPr>
          <w:p w:rsidR="004E38AD" w:rsidRDefault="004E38AD" w:rsidP="004E38AD">
            <w:r>
              <w:t>ELACC 11-12</w:t>
            </w:r>
          </w:p>
          <w:p w:rsidR="004E38AD" w:rsidRDefault="004E38AD" w:rsidP="004E38AD">
            <w:r>
              <w:t>RL 1.1; 3.1</w:t>
            </w:r>
          </w:p>
          <w:p w:rsidR="004E38AD" w:rsidRDefault="004E38AD" w:rsidP="004E38AD">
            <w:r>
              <w:t>RI 10.1</w:t>
            </w:r>
          </w:p>
        </w:tc>
        <w:tc>
          <w:tcPr>
            <w:tcW w:w="2704" w:type="dxa"/>
            <w:gridSpan w:val="2"/>
          </w:tcPr>
          <w:p w:rsidR="004E38AD" w:rsidRDefault="004E38AD" w:rsidP="004E38AD">
            <w:r>
              <w:t>Identify central ideas of a text; Use summarizing strategies to</w:t>
            </w:r>
            <w:r w:rsidR="008D4F84">
              <w:t xml:space="preserve"> </w:t>
            </w:r>
            <w:bookmarkStart w:id="0" w:name="_GoBack"/>
            <w:bookmarkEnd w:id="0"/>
            <w:r>
              <w:t xml:space="preserve">find the central ideas of an excerpt from Henry David Thoreau’s </w:t>
            </w:r>
            <w:r w:rsidRPr="00D31312">
              <w:rPr>
                <w:i/>
              </w:rPr>
              <w:t>Walden</w:t>
            </w:r>
          </w:p>
        </w:tc>
        <w:tc>
          <w:tcPr>
            <w:tcW w:w="2906" w:type="dxa"/>
            <w:gridSpan w:val="2"/>
          </w:tcPr>
          <w:p w:rsidR="004E38AD" w:rsidRDefault="004E38AD" w:rsidP="004E38AD">
            <w:r>
              <w:t>Have students read the information about the author – a transcendentalist; explain transcendentalism; determining central ideas; author’s style; purpose , and analyzing language</w:t>
            </w:r>
          </w:p>
        </w:tc>
        <w:tc>
          <w:tcPr>
            <w:tcW w:w="3856" w:type="dxa"/>
            <w:gridSpan w:val="2"/>
          </w:tcPr>
          <w:p w:rsidR="004E38AD" w:rsidRDefault="004E38AD" w:rsidP="004E38AD">
            <w:r>
              <w:t>Read, summarize, and respond to teacher’s questions; learn that summarizing text means restating the central ideas in one’s own words; learn author’s purpose or reason for writing; learn about inferring of deducing from evidence; author’s style – the way the author expresses his or her ideas.</w:t>
            </w:r>
          </w:p>
        </w:tc>
        <w:tc>
          <w:tcPr>
            <w:tcW w:w="3016" w:type="dxa"/>
            <w:gridSpan w:val="2"/>
          </w:tcPr>
          <w:p w:rsidR="004E38AD" w:rsidRDefault="004E38AD" w:rsidP="004E38AD">
            <w:r>
              <w:t>The notes/ answers that students write in response to the questions posed during their reading and analyzing.</w:t>
            </w:r>
          </w:p>
        </w:tc>
      </w:tr>
      <w:tr w:rsidR="00AD510D" w:rsidTr="003E7C7B">
        <w:trPr>
          <w:cantSplit/>
          <w:trHeight w:val="1700"/>
        </w:trPr>
        <w:tc>
          <w:tcPr>
            <w:tcW w:w="526" w:type="dxa"/>
            <w:textDirection w:val="btLr"/>
            <w:vAlign w:val="center"/>
          </w:tcPr>
          <w:p w:rsidR="00AD510D" w:rsidRDefault="00AD510D" w:rsidP="00AD510D">
            <w:pPr>
              <w:ind w:left="113" w:right="113"/>
              <w:jc w:val="center"/>
              <w:rPr>
                <w:b/>
              </w:rPr>
            </w:pPr>
            <w:r>
              <w:rPr>
                <w:b/>
              </w:rPr>
              <w:lastRenderedPageBreak/>
              <w:t>Thursday</w:t>
            </w:r>
          </w:p>
        </w:tc>
        <w:tc>
          <w:tcPr>
            <w:tcW w:w="1392" w:type="dxa"/>
          </w:tcPr>
          <w:p w:rsidR="00AD510D" w:rsidRDefault="00AD510D" w:rsidP="00AD510D">
            <w:r>
              <w:t>ELACC 11-12</w:t>
            </w:r>
          </w:p>
          <w:p w:rsidR="00AD510D" w:rsidRDefault="00AD510D" w:rsidP="00AD510D">
            <w:r>
              <w:t>RL 1.1; 3.1</w:t>
            </w:r>
          </w:p>
          <w:p w:rsidR="00AD510D" w:rsidRDefault="00AD510D" w:rsidP="00AD510D">
            <w:r>
              <w:t>RI 10.1</w:t>
            </w:r>
          </w:p>
        </w:tc>
        <w:tc>
          <w:tcPr>
            <w:tcW w:w="2704" w:type="dxa"/>
            <w:gridSpan w:val="2"/>
          </w:tcPr>
          <w:p w:rsidR="00AD510D" w:rsidRPr="00AB3CA4" w:rsidRDefault="00AD510D" w:rsidP="00AD510D">
            <w:pPr>
              <w:pStyle w:val="NoSpacing"/>
              <w:jc w:val="center"/>
              <w:rPr>
                <w:rFonts w:ascii="Arial" w:hAnsi="Arial" w:cs="Arial"/>
              </w:rPr>
            </w:pPr>
            <w:r>
              <w:t xml:space="preserve">Lesson on Satire: </w:t>
            </w:r>
            <w:r w:rsidRPr="00AB3CA4">
              <w:rPr>
                <w:rFonts w:ascii="Arial" w:hAnsi="Arial" w:cs="Arial"/>
                <w:b/>
                <w:sz w:val="20"/>
                <w:szCs w:val="20"/>
              </w:rPr>
              <w:t>SATIRE:</w:t>
            </w:r>
            <w:r w:rsidRPr="00AB3CA4">
              <w:rPr>
                <w:rFonts w:ascii="Arial" w:hAnsi="Arial" w:cs="Arial"/>
                <w:sz w:val="20"/>
                <w:szCs w:val="20"/>
              </w:rPr>
              <w:t xml:space="preserve"> </w:t>
            </w:r>
            <w:r w:rsidRPr="00AB3CA4">
              <w:rPr>
                <w:rFonts w:ascii="Arial" w:hAnsi="Arial" w:cs="Arial"/>
              </w:rPr>
              <w:t>a work that ridicules its subject through the use of techniques</w:t>
            </w:r>
          </w:p>
          <w:p w:rsidR="00AD510D" w:rsidRPr="00AB3CA4" w:rsidRDefault="00AD510D" w:rsidP="00AD510D">
            <w:pPr>
              <w:pStyle w:val="NoSpacing"/>
              <w:jc w:val="center"/>
              <w:rPr>
                <w:rFonts w:ascii="Arial" w:hAnsi="Arial" w:cs="Arial"/>
              </w:rPr>
            </w:pPr>
            <w:r w:rsidRPr="00AB3CA4">
              <w:rPr>
                <w:rFonts w:ascii="Arial" w:hAnsi="Arial" w:cs="Arial"/>
              </w:rPr>
              <w:t>such as exaggeration, reversal, incongruity, and/or parody</w:t>
            </w:r>
          </w:p>
          <w:p w:rsidR="00AD510D" w:rsidRDefault="00AD510D" w:rsidP="00AD510D">
            <w:r w:rsidRPr="00AB3CA4">
              <w:rPr>
                <w:rFonts w:ascii="Arial" w:hAnsi="Arial" w:cs="Arial"/>
                <w:sz w:val="22"/>
                <w:szCs w:val="22"/>
              </w:rPr>
              <w:t xml:space="preserve"> in order to make a comment or criticism about it</w:t>
            </w:r>
          </w:p>
        </w:tc>
        <w:tc>
          <w:tcPr>
            <w:tcW w:w="2906" w:type="dxa"/>
            <w:gridSpan w:val="2"/>
          </w:tcPr>
          <w:p w:rsidR="00AD510D" w:rsidRDefault="00AD510D" w:rsidP="00AD510D">
            <w:r>
              <w:t>Teach: Exaggeration, Incongruity, Reversal, Parody based on the lesson Dr. Goggans taught to English IV students.</w:t>
            </w:r>
          </w:p>
        </w:tc>
        <w:tc>
          <w:tcPr>
            <w:tcW w:w="3856" w:type="dxa"/>
            <w:gridSpan w:val="2"/>
          </w:tcPr>
          <w:p w:rsidR="00AD510D" w:rsidRPr="00AB3CA4" w:rsidRDefault="00AD510D" w:rsidP="00AD510D">
            <w:pPr>
              <w:pStyle w:val="NoSpacing"/>
              <w:rPr>
                <w:rFonts w:ascii="Arial" w:hAnsi="Arial" w:cs="Arial"/>
                <w:sz w:val="20"/>
                <w:szCs w:val="20"/>
              </w:rPr>
            </w:pPr>
            <w:r>
              <w:t xml:space="preserve">Learn: </w:t>
            </w:r>
            <w:r w:rsidRPr="00AB3CA4">
              <w:rPr>
                <w:rFonts w:ascii="Arial" w:hAnsi="Arial" w:cs="Arial"/>
                <w:b/>
                <w:sz w:val="20"/>
                <w:szCs w:val="20"/>
              </w:rPr>
              <w:t>Exaggeration:</w:t>
            </w:r>
            <w:r w:rsidRPr="00AB3CA4">
              <w:rPr>
                <w:rFonts w:ascii="Arial" w:hAnsi="Arial" w:cs="Arial"/>
                <w:sz w:val="20"/>
                <w:szCs w:val="20"/>
              </w:rPr>
              <w:t xml:space="preserve"> to enlarge, increase, or represent something beyond normal bounds so that it becomes ridiculous and its faults can be seen.</w:t>
            </w:r>
          </w:p>
          <w:p w:rsidR="00AD510D" w:rsidRPr="00AB3CA4" w:rsidRDefault="00AD510D" w:rsidP="00AD510D">
            <w:pPr>
              <w:pStyle w:val="NoSpacing"/>
              <w:rPr>
                <w:rFonts w:ascii="Arial" w:hAnsi="Arial" w:cs="Arial"/>
                <w:sz w:val="20"/>
                <w:szCs w:val="20"/>
              </w:rPr>
            </w:pPr>
          </w:p>
          <w:p w:rsidR="00AD510D" w:rsidRPr="00AB3CA4" w:rsidRDefault="00AD510D" w:rsidP="00AD510D">
            <w:pPr>
              <w:pStyle w:val="NoSpacing"/>
              <w:rPr>
                <w:rFonts w:ascii="Arial" w:hAnsi="Arial" w:cs="Arial"/>
                <w:sz w:val="20"/>
                <w:szCs w:val="20"/>
              </w:rPr>
            </w:pPr>
            <w:r w:rsidRPr="00AB3CA4">
              <w:rPr>
                <w:rFonts w:ascii="Arial" w:hAnsi="Arial" w:cs="Arial"/>
                <w:b/>
                <w:sz w:val="20"/>
                <w:szCs w:val="20"/>
              </w:rPr>
              <w:t>Incongruity</w:t>
            </w:r>
            <w:r w:rsidRPr="00AB3CA4">
              <w:rPr>
                <w:rFonts w:ascii="Arial" w:hAnsi="Arial" w:cs="Arial"/>
                <w:sz w:val="20"/>
                <w:szCs w:val="20"/>
              </w:rPr>
              <w:t>: to present things that are out of place or absurd in relation to its surroundings.</w:t>
            </w:r>
          </w:p>
          <w:p w:rsidR="00AD510D" w:rsidRPr="00AB3CA4" w:rsidRDefault="00AD510D" w:rsidP="00AD510D">
            <w:pPr>
              <w:pStyle w:val="NoSpacing"/>
              <w:rPr>
                <w:rFonts w:ascii="Arial" w:hAnsi="Arial" w:cs="Arial"/>
                <w:sz w:val="20"/>
                <w:szCs w:val="20"/>
              </w:rPr>
            </w:pPr>
          </w:p>
          <w:p w:rsidR="00AD510D" w:rsidRPr="00AB3CA4" w:rsidRDefault="00AD510D" w:rsidP="00AD510D">
            <w:pPr>
              <w:pStyle w:val="NoSpacing"/>
              <w:rPr>
                <w:rFonts w:ascii="Arial" w:hAnsi="Arial" w:cs="Arial"/>
                <w:sz w:val="20"/>
                <w:szCs w:val="20"/>
              </w:rPr>
            </w:pPr>
            <w:r w:rsidRPr="00AB3CA4">
              <w:rPr>
                <w:rFonts w:ascii="Arial" w:hAnsi="Arial" w:cs="Arial"/>
                <w:b/>
                <w:sz w:val="20"/>
                <w:szCs w:val="20"/>
              </w:rPr>
              <w:t>Reversal:</w:t>
            </w:r>
            <w:r w:rsidRPr="00AB3CA4">
              <w:rPr>
                <w:rFonts w:ascii="Arial" w:hAnsi="Arial" w:cs="Arial"/>
                <w:sz w:val="20"/>
                <w:szCs w:val="20"/>
              </w:rPr>
              <w:t xml:space="preserve"> to present the opposite of the normal order of things (i.e. the order of events, hierarchical order)</w:t>
            </w:r>
          </w:p>
          <w:p w:rsidR="00AD510D" w:rsidRPr="00AB3CA4" w:rsidRDefault="008D4F84" w:rsidP="00AD510D">
            <w:pPr>
              <w:pStyle w:val="NoSpacing"/>
              <w:rPr>
                <w:rFonts w:ascii="Arial" w:hAnsi="Arial" w:cs="Arial"/>
                <w:sz w:val="20"/>
                <w:szCs w:val="20"/>
              </w:rPr>
            </w:pPr>
            <w:r>
              <w:rPr>
                <w:rFonts w:ascii="Arial" w:hAnsi="Arial" w:cs="Arial"/>
                <w:sz w:val="20"/>
                <w:szCs w:val="20"/>
              </w:rPr>
              <w:t>exercise</w:t>
            </w:r>
          </w:p>
          <w:p w:rsidR="00AD510D" w:rsidRPr="00AB3CA4" w:rsidRDefault="00AD510D" w:rsidP="00AD510D">
            <w:pPr>
              <w:pStyle w:val="NoSpacing"/>
              <w:rPr>
                <w:rFonts w:ascii="Arial" w:hAnsi="Arial" w:cs="Arial"/>
                <w:sz w:val="20"/>
                <w:szCs w:val="20"/>
              </w:rPr>
            </w:pPr>
            <w:r w:rsidRPr="00AB3CA4">
              <w:rPr>
                <w:rFonts w:ascii="Arial" w:hAnsi="Arial" w:cs="Arial"/>
                <w:b/>
                <w:sz w:val="20"/>
                <w:szCs w:val="20"/>
              </w:rPr>
              <w:t>Parody:</w:t>
            </w:r>
            <w:r w:rsidRPr="00AB3CA4">
              <w:rPr>
                <w:rFonts w:ascii="Arial" w:hAnsi="Arial" w:cs="Arial"/>
                <w:sz w:val="20"/>
                <w:szCs w:val="20"/>
              </w:rPr>
              <w:t xml:space="preserve"> to imitate the techniques or style of some person, place, or thing</w:t>
            </w:r>
          </w:p>
          <w:p w:rsidR="00AD510D" w:rsidRDefault="00AD510D" w:rsidP="00AD510D"/>
        </w:tc>
        <w:tc>
          <w:tcPr>
            <w:tcW w:w="3016" w:type="dxa"/>
            <w:gridSpan w:val="2"/>
          </w:tcPr>
          <w:p w:rsidR="00AD510D" w:rsidRDefault="00AD510D" w:rsidP="00AD510D">
            <w:r>
              <w:t>Fill out sheets that show understanding of the four concepts, as well as descriptions on cartoons and videos.</w:t>
            </w:r>
          </w:p>
        </w:tc>
      </w:tr>
      <w:tr w:rsidR="00AD510D" w:rsidTr="00DD3CE5">
        <w:trPr>
          <w:cantSplit/>
          <w:trHeight w:val="1700"/>
        </w:trPr>
        <w:tc>
          <w:tcPr>
            <w:tcW w:w="526" w:type="dxa"/>
            <w:textDirection w:val="btLr"/>
            <w:vAlign w:val="center"/>
          </w:tcPr>
          <w:p w:rsidR="00AD510D" w:rsidRDefault="00AD510D" w:rsidP="00AD510D">
            <w:pPr>
              <w:ind w:left="113" w:right="113"/>
              <w:jc w:val="center"/>
              <w:rPr>
                <w:b/>
              </w:rPr>
            </w:pPr>
            <w:r>
              <w:rPr>
                <w:b/>
              </w:rPr>
              <w:t>Friday</w:t>
            </w:r>
          </w:p>
        </w:tc>
        <w:tc>
          <w:tcPr>
            <w:tcW w:w="1392" w:type="dxa"/>
          </w:tcPr>
          <w:p w:rsidR="00AD510D" w:rsidRDefault="00AD510D" w:rsidP="00AD510D">
            <w:r>
              <w:t>ELACC 11-12</w:t>
            </w:r>
          </w:p>
          <w:p w:rsidR="00AD510D" w:rsidRDefault="00AD510D" w:rsidP="00AD510D">
            <w:r>
              <w:t>RL 1.1; 3.1</w:t>
            </w:r>
          </w:p>
          <w:p w:rsidR="00AD510D" w:rsidRDefault="00AD510D" w:rsidP="00AD510D">
            <w:r>
              <w:t>RI 10.1</w:t>
            </w:r>
          </w:p>
        </w:tc>
        <w:tc>
          <w:tcPr>
            <w:tcW w:w="2704" w:type="dxa"/>
            <w:gridSpan w:val="2"/>
          </w:tcPr>
          <w:p w:rsidR="00AD510D" w:rsidRDefault="00185AA6" w:rsidP="004E38AD">
            <w:r>
              <w:t xml:space="preserve">With the help of close-reading questions, students will determine the central ideas by examining specific textual evidence, guiding them to develop a coherent understanding of each of Ralph Waldo Emerson’s essays: </w:t>
            </w:r>
            <w:r w:rsidRPr="00185AA6">
              <w:rPr>
                <w:i/>
              </w:rPr>
              <w:t>from Nature</w:t>
            </w:r>
            <w:r>
              <w:t xml:space="preserve"> , and </w:t>
            </w:r>
            <w:r w:rsidRPr="00185AA6">
              <w:rPr>
                <w:i/>
              </w:rPr>
              <w:t>from Self-Reliance</w:t>
            </w:r>
          </w:p>
        </w:tc>
        <w:tc>
          <w:tcPr>
            <w:tcW w:w="2906" w:type="dxa"/>
            <w:gridSpan w:val="2"/>
          </w:tcPr>
          <w:p w:rsidR="00AD510D" w:rsidRDefault="00185AA6" w:rsidP="008D4F84">
            <w:r>
              <w:t>Teacher will have students read each of the essays carefully all the way through. Close-reading questions at the bottom of the page will help them focus on a thorough analysis o</w:t>
            </w:r>
            <w:r w:rsidR="008D4F84">
              <w:t>f</w:t>
            </w:r>
            <w:r>
              <w:t xml:space="preserve"> the central ideas of each essay</w:t>
            </w:r>
            <w:r w:rsidR="008D4F84">
              <w:t>, and the evidence, including facts, details and examples, that support the key ideas. As they read, students should record comments or questions about the text in the side margins</w:t>
            </w:r>
          </w:p>
        </w:tc>
        <w:tc>
          <w:tcPr>
            <w:tcW w:w="3856" w:type="dxa"/>
            <w:gridSpan w:val="2"/>
          </w:tcPr>
          <w:p w:rsidR="00AD510D" w:rsidRDefault="008D4F84" w:rsidP="004E38AD">
            <w:r>
              <w:t>S</w:t>
            </w:r>
            <w:r>
              <w:t xml:space="preserve">tudents </w:t>
            </w:r>
            <w:r>
              <w:t xml:space="preserve">will </w:t>
            </w:r>
            <w:r>
              <w:t>read each of the essays carefully all the way through. Close-reading questions at the bottom of the page will help them focus on a thorough analysis of the central ideas of each essay, and the evidence, including facts, details and examples, that support the key ideas. As they read, students should record comments or questions about the text in the side margins</w:t>
            </w:r>
            <w:r>
              <w:t>.</w:t>
            </w:r>
          </w:p>
        </w:tc>
        <w:tc>
          <w:tcPr>
            <w:tcW w:w="3016" w:type="dxa"/>
            <w:gridSpan w:val="2"/>
          </w:tcPr>
          <w:p w:rsidR="00AD510D" w:rsidRDefault="008D4F84" w:rsidP="004E38AD">
            <w:r>
              <w:t>Completion of the close-reader practice and apply exercises in the consumable student workbooks will be evaluated.</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33773"/>
    <w:rsid w:val="00050052"/>
    <w:rsid w:val="00072BC2"/>
    <w:rsid w:val="00074C14"/>
    <w:rsid w:val="000A7BB8"/>
    <w:rsid w:val="000E60B8"/>
    <w:rsid w:val="000F24CB"/>
    <w:rsid w:val="00152403"/>
    <w:rsid w:val="001549C8"/>
    <w:rsid w:val="00155184"/>
    <w:rsid w:val="001777D9"/>
    <w:rsid w:val="00185AA6"/>
    <w:rsid w:val="001869C1"/>
    <w:rsid w:val="001B06D3"/>
    <w:rsid w:val="001C1CAB"/>
    <w:rsid w:val="00201BD8"/>
    <w:rsid w:val="00207439"/>
    <w:rsid w:val="00224DE6"/>
    <w:rsid w:val="002420DE"/>
    <w:rsid w:val="00264CF7"/>
    <w:rsid w:val="00276C97"/>
    <w:rsid w:val="002A339A"/>
    <w:rsid w:val="002C6FA1"/>
    <w:rsid w:val="003133FF"/>
    <w:rsid w:val="00327E9D"/>
    <w:rsid w:val="00370059"/>
    <w:rsid w:val="003A731E"/>
    <w:rsid w:val="003F2945"/>
    <w:rsid w:val="003F2FB5"/>
    <w:rsid w:val="003F778A"/>
    <w:rsid w:val="004044FB"/>
    <w:rsid w:val="004178C5"/>
    <w:rsid w:val="004252DE"/>
    <w:rsid w:val="004358D2"/>
    <w:rsid w:val="00492848"/>
    <w:rsid w:val="004B7AC6"/>
    <w:rsid w:val="004C56F8"/>
    <w:rsid w:val="004E256C"/>
    <w:rsid w:val="004E38AD"/>
    <w:rsid w:val="00504C0E"/>
    <w:rsid w:val="005173B5"/>
    <w:rsid w:val="00544FA6"/>
    <w:rsid w:val="00560C0F"/>
    <w:rsid w:val="00590C94"/>
    <w:rsid w:val="005D0949"/>
    <w:rsid w:val="0060353F"/>
    <w:rsid w:val="00606C56"/>
    <w:rsid w:val="00620236"/>
    <w:rsid w:val="0064034C"/>
    <w:rsid w:val="00640B9E"/>
    <w:rsid w:val="006943A4"/>
    <w:rsid w:val="006E7D18"/>
    <w:rsid w:val="00712C0D"/>
    <w:rsid w:val="0076324E"/>
    <w:rsid w:val="007C49A4"/>
    <w:rsid w:val="0080123C"/>
    <w:rsid w:val="00811F70"/>
    <w:rsid w:val="0083278D"/>
    <w:rsid w:val="00846A07"/>
    <w:rsid w:val="0086279D"/>
    <w:rsid w:val="00864DB6"/>
    <w:rsid w:val="00864E90"/>
    <w:rsid w:val="008C05C9"/>
    <w:rsid w:val="008C3ACA"/>
    <w:rsid w:val="008D3AF0"/>
    <w:rsid w:val="008D4F84"/>
    <w:rsid w:val="008E1FAE"/>
    <w:rsid w:val="00904ADD"/>
    <w:rsid w:val="009059CC"/>
    <w:rsid w:val="0091339D"/>
    <w:rsid w:val="009207B4"/>
    <w:rsid w:val="00960A41"/>
    <w:rsid w:val="00961ACF"/>
    <w:rsid w:val="009A0590"/>
    <w:rsid w:val="009B7B84"/>
    <w:rsid w:val="009D3CCB"/>
    <w:rsid w:val="009E4453"/>
    <w:rsid w:val="00A0673B"/>
    <w:rsid w:val="00A07FE2"/>
    <w:rsid w:val="00A23B10"/>
    <w:rsid w:val="00A315E0"/>
    <w:rsid w:val="00A33C79"/>
    <w:rsid w:val="00A64C17"/>
    <w:rsid w:val="00A81E6C"/>
    <w:rsid w:val="00AB3CA4"/>
    <w:rsid w:val="00AD510D"/>
    <w:rsid w:val="00AD723C"/>
    <w:rsid w:val="00AF6F39"/>
    <w:rsid w:val="00B3289C"/>
    <w:rsid w:val="00B40C2D"/>
    <w:rsid w:val="00B504BC"/>
    <w:rsid w:val="00B52C04"/>
    <w:rsid w:val="00B6026C"/>
    <w:rsid w:val="00B761B5"/>
    <w:rsid w:val="00BB7AA9"/>
    <w:rsid w:val="00BE289C"/>
    <w:rsid w:val="00BE296C"/>
    <w:rsid w:val="00C14C9C"/>
    <w:rsid w:val="00C15977"/>
    <w:rsid w:val="00C2626B"/>
    <w:rsid w:val="00C312EC"/>
    <w:rsid w:val="00C359DA"/>
    <w:rsid w:val="00C922FB"/>
    <w:rsid w:val="00CA3343"/>
    <w:rsid w:val="00CF76E8"/>
    <w:rsid w:val="00D179D5"/>
    <w:rsid w:val="00D278FD"/>
    <w:rsid w:val="00D30316"/>
    <w:rsid w:val="00D31312"/>
    <w:rsid w:val="00D74523"/>
    <w:rsid w:val="00D74D84"/>
    <w:rsid w:val="00D95287"/>
    <w:rsid w:val="00DA36AB"/>
    <w:rsid w:val="00DA75CB"/>
    <w:rsid w:val="00DD3CE5"/>
    <w:rsid w:val="00DF62ED"/>
    <w:rsid w:val="00E1109F"/>
    <w:rsid w:val="00E50D66"/>
    <w:rsid w:val="00E52171"/>
    <w:rsid w:val="00E52BC6"/>
    <w:rsid w:val="00E71CA3"/>
    <w:rsid w:val="00ED67CE"/>
    <w:rsid w:val="00EF210B"/>
    <w:rsid w:val="00EF509B"/>
    <w:rsid w:val="00F42344"/>
    <w:rsid w:val="00FC43A1"/>
    <w:rsid w:val="00FC598A"/>
    <w:rsid w:val="00FD3D81"/>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NoSpacing">
    <w:name w:val="No Spacing"/>
    <w:uiPriority w:val="1"/>
    <w:qFormat/>
    <w:rsid w:val="00AB3CA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GCSD Admin</dc:creator>
  <cp:lastModifiedBy>Franklin Shand</cp:lastModifiedBy>
  <cp:revision>2</cp:revision>
  <cp:lastPrinted>2013-09-03T02:57:00Z</cp:lastPrinted>
  <dcterms:created xsi:type="dcterms:W3CDTF">2016-01-04T03:04:00Z</dcterms:created>
  <dcterms:modified xsi:type="dcterms:W3CDTF">2016-01-04T03:04:00Z</dcterms:modified>
</cp:coreProperties>
</file>