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D307BA" w:rsidP="00D307BA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851108">
              <w:t>1</w:t>
            </w:r>
            <w:r w:rsidRPr="00D307BA">
              <w:rPr>
                <w:vertAlign w:val="superscript"/>
              </w:rPr>
              <w:t>st</w:t>
            </w:r>
            <w:r>
              <w:t xml:space="preserve"> 3</w:t>
            </w:r>
            <w:r w:rsidRPr="00D307BA">
              <w:rPr>
                <w:vertAlign w:val="superscript"/>
              </w:rPr>
              <w:t>rd</w:t>
            </w:r>
            <w:r>
              <w:t xml:space="preserve"> &amp; 4</w:t>
            </w:r>
            <w:r w:rsidRPr="00D307B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307BA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0375A2">
              <w:t xml:space="preserve">October </w:t>
            </w:r>
            <w:r w:rsidR="00D307BA">
              <w:t>12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17"/>
        <w:gridCol w:w="1274"/>
        <w:gridCol w:w="1977"/>
        <w:gridCol w:w="1879"/>
        <w:gridCol w:w="1485"/>
        <w:gridCol w:w="1421"/>
        <w:gridCol w:w="1747"/>
        <w:gridCol w:w="1362"/>
        <w:gridCol w:w="1350"/>
        <w:gridCol w:w="1388"/>
      </w:tblGrid>
      <w:tr w:rsidR="00DF62ED" w:rsidTr="007F6571">
        <w:trPr>
          <w:trHeight w:val="1241"/>
        </w:trPr>
        <w:tc>
          <w:tcPr>
            <w:tcW w:w="517" w:type="dxa"/>
          </w:tcPr>
          <w:p w:rsidR="00DF62ED" w:rsidRDefault="00DF62ED"/>
        </w:tc>
        <w:tc>
          <w:tcPr>
            <w:tcW w:w="1274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9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747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362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586FA6" w:rsidTr="007F6571">
        <w:trPr>
          <w:cantSplit/>
          <w:trHeight w:val="1439"/>
        </w:trPr>
        <w:tc>
          <w:tcPr>
            <w:tcW w:w="517" w:type="dxa"/>
            <w:textDirection w:val="btLr"/>
            <w:vAlign w:val="center"/>
          </w:tcPr>
          <w:p w:rsidR="00586FA6" w:rsidRPr="00560C0F" w:rsidRDefault="00586FA6" w:rsidP="003E48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274" w:type="dxa"/>
          </w:tcPr>
          <w:p w:rsidR="00586FA6" w:rsidRDefault="00586FA6" w:rsidP="00D307BA"/>
        </w:tc>
        <w:tc>
          <w:tcPr>
            <w:tcW w:w="3856" w:type="dxa"/>
            <w:gridSpan w:val="2"/>
          </w:tcPr>
          <w:p w:rsidR="00586FA6" w:rsidRPr="002C2929" w:rsidRDefault="00D307BA" w:rsidP="002C2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School</w:t>
            </w:r>
          </w:p>
        </w:tc>
        <w:tc>
          <w:tcPr>
            <w:tcW w:w="2906" w:type="dxa"/>
            <w:gridSpan w:val="2"/>
            <w:shd w:val="clear" w:color="auto" w:fill="FFFFFF" w:themeFill="background1"/>
            <w:noWrap/>
          </w:tcPr>
          <w:p w:rsidR="00586FA6" w:rsidRDefault="00586FA6" w:rsidP="00976ACB"/>
        </w:tc>
        <w:tc>
          <w:tcPr>
            <w:tcW w:w="3109" w:type="dxa"/>
            <w:gridSpan w:val="2"/>
            <w:shd w:val="clear" w:color="auto" w:fill="FFFFFF" w:themeFill="background1"/>
          </w:tcPr>
          <w:p w:rsidR="00976ACB" w:rsidRDefault="00976ACB" w:rsidP="00976ACB"/>
        </w:tc>
        <w:tc>
          <w:tcPr>
            <w:tcW w:w="2738" w:type="dxa"/>
            <w:gridSpan w:val="2"/>
          </w:tcPr>
          <w:p w:rsidR="00586FA6" w:rsidRDefault="00586FA6" w:rsidP="00867423"/>
        </w:tc>
      </w:tr>
      <w:tr w:rsidR="00976ACB" w:rsidTr="007F6571">
        <w:trPr>
          <w:cantSplit/>
          <w:trHeight w:val="1646"/>
        </w:trPr>
        <w:tc>
          <w:tcPr>
            <w:tcW w:w="517" w:type="dxa"/>
            <w:textDirection w:val="btLr"/>
            <w:vAlign w:val="center"/>
          </w:tcPr>
          <w:p w:rsidR="00976ACB" w:rsidRPr="00560C0F" w:rsidRDefault="00976ACB" w:rsidP="003E48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560C0F">
              <w:rPr>
                <w:b/>
              </w:rPr>
              <w:t>day</w:t>
            </w:r>
          </w:p>
        </w:tc>
        <w:tc>
          <w:tcPr>
            <w:tcW w:w="1274" w:type="dxa"/>
          </w:tcPr>
          <w:p w:rsidR="00976ACB" w:rsidRDefault="00976ACB" w:rsidP="00C302CC">
            <w:r>
              <w:t>ELA CC 11-12</w:t>
            </w:r>
          </w:p>
          <w:p w:rsidR="00976ACB" w:rsidRDefault="00976ACB" w:rsidP="00C302CC">
            <w:r>
              <w:t>RL 2</w:t>
            </w:r>
          </w:p>
          <w:p w:rsidR="00976ACB" w:rsidRDefault="00976ACB" w:rsidP="00C302CC"/>
          <w:p w:rsidR="00976ACB" w:rsidRDefault="00976ACB" w:rsidP="00C302CC">
            <w:r>
              <w:t>SL 1, 2.</w:t>
            </w:r>
          </w:p>
        </w:tc>
        <w:tc>
          <w:tcPr>
            <w:tcW w:w="3856" w:type="dxa"/>
            <w:gridSpan w:val="2"/>
          </w:tcPr>
          <w:p w:rsidR="00976ACB" w:rsidRPr="00D307BA" w:rsidRDefault="00D307BA" w:rsidP="00D307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Post-historic floods – provide students the opportunity to reflect on, discuss and write about their experiences. Annotate articles from newspapers relating to the floods.</w:t>
            </w:r>
          </w:p>
        </w:tc>
        <w:tc>
          <w:tcPr>
            <w:tcW w:w="2906" w:type="dxa"/>
            <w:gridSpan w:val="2"/>
          </w:tcPr>
          <w:p w:rsidR="00976ACB" w:rsidRDefault="00D307BA" w:rsidP="00D307BA">
            <w:r>
              <w:t xml:space="preserve">Teach annotating strategies; provide annotating guides, articles from newspapers </w:t>
            </w:r>
          </w:p>
        </w:tc>
        <w:tc>
          <w:tcPr>
            <w:tcW w:w="3109" w:type="dxa"/>
            <w:gridSpan w:val="2"/>
          </w:tcPr>
          <w:p w:rsidR="00976ACB" w:rsidRDefault="00D307BA" w:rsidP="002C2929">
            <w:r>
              <w:t xml:space="preserve">Annotate article purposefully; </w:t>
            </w:r>
            <w:bookmarkStart w:id="0" w:name="_GoBack"/>
            <w:bookmarkEnd w:id="0"/>
            <w:r>
              <w:t>write a well-developed They say/I say response to the author’s argument(s); not merely a summary of the article</w:t>
            </w:r>
          </w:p>
        </w:tc>
        <w:tc>
          <w:tcPr>
            <w:tcW w:w="2738" w:type="dxa"/>
            <w:gridSpan w:val="2"/>
          </w:tcPr>
          <w:p w:rsidR="00976ACB" w:rsidRDefault="00D307BA" w:rsidP="002C2929">
            <w:r>
              <w:t>A reading and writing rubric will be used to assess students’</w:t>
            </w:r>
            <w:r w:rsidR="00573F60">
              <w:t xml:space="preserve"> efforts in meeting the set goal in their 150+ responses.</w:t>
            </w:r>
          </w:p>
        </w:tc>
      </w:tr>
      <w:tr w:rsidR="00573F60" w:rsidTr="007F6571">
        <w:trPr>
          <w:cantSplit/>
          <w:trHeight w:val="1493"/>
        </w:trPr>
        <w:tc>
          <w:tcPr>
            <w:tcW w:w="517" w:type="dxa"/>
            <w:textDirection w:val="btLr"/>
            <w:vAlign w:val="center"/>
          </w:tcPr>
          <w:p w:rsidR="00573F60" w:rsidRPr="00560C0F" w:rsidRDefault="00573F60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</w:t>
            </w:r>
            <w:r w:rsidRPr="00560C0F">
              <w:rPr>
                <w:b/>
              </w:rPr>
              <w:t>sday</w:t>
            </w:r>
          </w:p>
        </w:tc>
        <w:tc>
          <w:tcPr>
            <w:tcW w:w="1274" w:type="dxa"/>
          </w:tcPr>
          <w:p w:rsidR="00573F60" w:rsidRDefault="00573F60" w:rsidP="00C302CC">
            <w:r>
              <w:t>ELA CC 11-12</w:t>
            </w:r>
          </w:p>
          <w:p w:rsidR="00573F60" w:rsidRDefault="00573F60" w:rsidP="00C302CC">
            <w:r>
              <w:t>RL 2</w:t>
            </w:r>
          </w:p>
          <w:p w:rsidR="00573F60" w:rsidRDefault="00573F60" w:rsidP="00C302CC"/>
          <w:p w:rsidR="00573F60" w:rsidRDefault="00573F60" w:rsidP="00C302CC">
            <w:r>
              <w:t>SL 1, 2.</w:t>
            </w:r>
          </w:p>
        </w:tc>
        <w:tc>
          <w:tcPr>
            <w:tcW w:w="3856" w:type="dxa"/>
            <w:gridSpan w:val="2"/>
          </w:tcPr>
          <w:p w:rsidR="00573F60" w:rsidRPr="00D307BA" w:rsidRDefault="00573F60" w:rsidP="00615E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Post-historic floods – provide students the opportunity to reflect on, discuss and write about their experiences. Annotate articles from newspapers relating to the floods.</w:t>
            </w:r>
          </w:p>
        </w:tc>
        <w:tc>
          <w:tcPr>
            <w:tcW w:w="2906" w:type="dxa"/>
            <w:gridSpan w:val="2"/>
          </w:tcPr>
          <w:p w:rsidR="00573F60" w:rsidRDefault="00573F60" w:rsidP="00615E62">
            <w:r>
              <w:t xml:space="preserve">Teach annotating strategies; provide annotating guides, articles from newspapers </w:t>
            </w:r>
          </w:p>
        </w:tc>
        <w:tc>
          <w:tcPr>
            <w:tcW w:w="3109" w:type="dxa"/>
            <w:gridSpan w:val="2"/>
          </w:tcPr>
          <w:p w:rsidR="00573F60" w:rsidRDefault="00573F60" w:rsidP="00615E62">
            <w:r>
              <w:t>Annotate article purposefully; write a well-developed They say/I say response to the author’s argument(s); not merely a summary of the article</w:t>
            </w:r>
          </w:p>
        </w:tc>
        <w:tc>
          <w:tcPr>
            <w:tcW w:w="2738" w:type="dxa"/>
            <w:gridSpan w:val="2"/>
          </w:tcPr>
          <w:p w:rsidR="00573F60" w:rsidRDefault="00573F60" w:rsidP="00615E62">
            <w:r>
              <w:t>A reading and writing rubric will be used to assess students’ efforts in meeting the set goal in their 150+ responses.</w:t>
            </w:r>
          </w:p>
        </w:tc>
      </w:tr>
      <w:tr w:rsidR="00FD506E" w:rsidTr="00FD506E">
        <w:trPr>
          <w:cantSplit/>
          <w:trHeight w:val="1700"/>
        </w:trPr>
        <w:tc>
          <w:tcPr>
            <w:tcW w:w="517" w:type="dxa"/>
            <w:textDirection w:val="btLr"/>
            <w:vAlign w:val="center"/>
          </w:tcPr>
          <w:p w:rsidR="00FD506E" w:rsidRDefault="00FD506E" w:rsidP="00003B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274" w:type="dxa"/>
          </w:tcPr>
          <w:p w:rsidR="00FD506E" w:rsidRDefault="00FD506E" w:rsidP="00C302CC">
            <w:r>
              <w:t>ELA CC 11-12</w:t>
            </w:r>
          </w:p>
          <w:p w:rsidR="00FD506E" w:rsidRDefault="00FD506E" w:rsidP="00C302CC">
            <w:r>
              <w:t>RL 2</w:t>
            </w:r>
          </w:p>
          <w:p w:rsidR="00FD506E" w:rsidRDefault="00FD506E" w:rsidP="00C302CC"/>
          <w:p w:rsidR="00FD506E" w:rsidRPr="00D67674" w:rsidRDefault="00FD506E" w:rsidP="00C302CC">
            <w:pPr>
              <w:rPr>
                <w:rFonts w:ascii="Lucida Calligraphy" w:hAnsi="Lucida Calligraphy"/>
                <w:b/>
              </w:rPr>
            </w:pPr>
            <w:r>
              <w:t>SL 1, 2.</w:t>
            </w:r>
          </w:p>
        </w:tc>
        <w:tc>
          <w:tcPr>
            <w:tcW w:w="3856" w:type="dxa"/>
            <w:gridSpan w:val="2"/>
          </w:tcPr>
          <w:p w:rsidR="00FD506E" w:rsidRDefault="00FD506E" w:rsidP="00615E62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FD506E" w:rsidRDefault="00FD506E" w:rsidP="00615E62">
            <w:r>
              <w:t xml:space="preserve">Close Reading </w:t>
            </w:r>
            <w:r w:rsidRPr="00155184">
              <w:rPr>
                <w:i/>
              </w:rPr>
              <w:t xml:space="preserve">From </w:t>
            </w:r>
            <w:r>
              <w:rPr>
                <w:i/>
              </w:rPr>
              <w:t>Of Plymouth Plantation – The Second Book</w:t>
            </w:r>
            <w:r>
              <w:t xml:space="preserve"> Teach analyzing foundational texts; determining central ideas; understanding usage, analyzing key terms.</w:t>
            </w:r>
          </w:p>
        </w:tc>
        <w:tc>
          <w:tcPr>
            <w:tcW w:w="3109" w:type="dxa"/>
            <w:gridSpan w:val="2"/>
          </w:tcPr>
          <w:p w:rsidR="00FD506E" w:rsidRDefault="00FD506E" w:rsidP="00615E62">
            <w:r>
              <w:t>Students will analyze foundational texts; determine central ideas; understand usage, analyze key terms.</w:t>
            </w:r>
          </w:p>
          <w:p w:rsidR="00FD506E" w:rsidRDefault="00FD506E" w:rsidP="00615E62">
            <w:r>
              <w:t xml:space="preserve">Close Read Screencasts – class viewing and discussion of at least one of the videos. </w:t>
            </w:r>
          </w:p>
          <w:p w:rsidR="00FD506E" w:rsidRPr="00A0673B" w:rsidRDefault="00FD506E" w:rsidP="00615E62"/>
        </w:tc>
        <w:tc>
          <w:tcPr>
            <w:tcW w:w="2738" w:type="dxa"/>
            <w:gridSpan w:val="2"/>
          </w:tcPr>
          <w:p w:rsidR="00FD506E" w:rsidRDefault="00FD506E" w:rsidP="00615E62">
            <w:r>
              <w:t>Students will determine central ideas and analyze foundational texts.</w:t>
            </w:r>
          </w:p>
        </w:tc>
      </w:tr>
      <w:tr w:rsidR="00FD506E" w:rsidTr="007F6571">
        <w:trPr>
          <w:cantSplit/>
          <w:trHeight w:val="1700"/>
        </w:trPr>
        <w:tc>
          <w:tcPr>
            <w:tcW w:w="517" w:type="dxa"/>
            <w:textDirection w:val="btLr"/>
            <w:vAlign w:val="center"/>
          </w:tcPr>
          <w:p w:rsidR="00FD506E" w:rsidRDefault="00FD506E" w:rsidP="008627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1274" w:type="dxa"/>
          </w:tcPr>
          <w:p w:rsidR="00FD506E" w:rsidRDefault="00FD506E" w:rsidP="00C302CC">
            <w:r>
              <w:t>ELA CC 11-12</w:t>
            </w:r>
          </w:p>
          <w:p w:rsidR="00FD506E" w:rsidRDefault="00FD506E" w:rsidP="00C302CC">
            <w:r>
              <w:t>RL 2</w:t>
            </w:r>
          </w:p>
          <w:p w:rsidR="00FD506E" w:rsidRDefault="00FD506E" w:rsidP="00C302CC"/>
          <w:p w:rsidR="00FD506E" w:rsidRPr="00D67674" w:rsidRDefault="00FD506E" w:rsidP="00C302CC">
            <w:pPr>
              <w:rPr>
                <w:rFonts w:ascii="Lucida Calligraphy" w:hAnsi="Lucida Calligraphy"/>
                <w:b/>
              </w:rPr>
            </w:pPr>
            <w:r>
              <w:t>SL 1, 2.</w:t>
            </w:r>
          </w:p>
        </w:tc>
        <w:tc>
          <w:tcPr>
            <w:tcW w:w="3856" w:type="dxa"/>
            <w:gridSpan w:val="2"/>
          </w:tcPr>
          <w:p w:rsidR="00FD506E" w:rsidRDefault="00FD506E" w:rsidP="00615E62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FD506E" w:rsidRDefault="00FD506E" w:rsidP="00615E62">
            <w:r w:rsidRPr="003F2FB5">
              <w:rPr>
                <w:i/>
              </w:rPr>
              <w:t xml:space="preserve">Coming of Age in the </w:t>
            </w:r>
            <w:proofErr w:type="spellStart"/>
            <w:r w:rsidRPr="003F2FB5">
              <w:rPr>
                <w:i/>
              </w:rPr>
              <w:t>Dawnland</w:t>
            </w:r>
            <w:proofErr w:type="spellEnd"/>
            <w:r>
              <w:rPr>
                <w:i/>
              </w:rPr>
              <w:t xml:space="preserve"> from 1491. </w:t>
            </w:r>
            <w:r>
              <w:t>Teach analyzing foundational texts; determining central ideas; understanding usage, analyzing key terms.</w:t>
            </w:r>
          </w:p>
        </w:tc>
        <w:tc>
          <w:tcPr>
            <w:tcW w:w="3109" w:type="dxa"/>
            <w:gridSpan w:val="2"/>
          </w:tcPr>
          <w:p w:rsidR="00FD506E" w:rsidRDefault="00FD506E" w:rsidP="00615E62">
            <w:r>
              <w:t>Students will analyze foundational texts; determine central ideas; understand usage, analyze key terms.</w:t>
            </w:r>
          </w:p>
          <w:p w:rsidR="00FD506E" w:rsidRDefault="00FD506E" w:rsidP="00615E62">
            <w:r>
              <w:t xml:space="preserve">Close Read Screencasts – class viewing and discussion of at least one of the videos. </w:t>
            </w:r>
          </w:p>
          <w:p w:rsidR="00FD506E" w:rsidRPr="00A0673B" w:rsidRDefault="00FD506E" w:rsidP="00615E62"/>
        </w:tc>
        <w:tc>
          <w:tcPr>
            <w:tcW w:w="2738" w:type="dxa"/>
            <w:gridSpan w:val="2"/>
          </w:tcPr>
          <w:p w:rsidR="00FD506E" w:rsidRDefault="00FD506E" w:rsidP="00615E62">
            <w:r>
              <w:t>Students will determine central ideas and analyze foundational texts.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40E"/>
    <w:multiLevelType w:val="hybridMultilevel"/>
    <w:tmpl w:val="28D8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A6D2E"/>
    <w:multiLevelType w:val="hybridMultilevel"/>
    <w:tmpl w:val="C9485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D7A7B"/>
    <w:multiLevelType w:val="hybridMultilevel"/>
    <w:tmpl w:val="2EBC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E3FC8"/>
    <w:multiLevelType w:val="hybridMultilevel"/>
    <w:tmpl w:val="3BB2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13655"/>
    <w:multiLevelType w:val="hybridMultilevel"/>
    <w:tmpl w:val="BF78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23AFB"/>
    <w:multiLevelType w:val="hybridMultilevel"/>
    <w:tmpl w:val="9B2A2A86"/>
    <w:lvl w:ilvl="0" w:tplc="D9E48F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C793E"/>
    <w:multiLevelType w:val="hybridMultilevel"/>
    <w:tmpl w:val="34A0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317D7"/>
    <w:multiLevelType w:val="hybridMultilevel"/>
    <w:tmpl w:val="8C86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40178"/>
    <w:multiLevelType w:val="hybridMultilevel"/>
    <w:tmpl w:val="00C6041A"/>
    <w:lvl w:ilvl="0" w:tplc="1B8C1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93341"/>
    <w:multiLevelType w:val="hybridMultilevel"/>
    <w:tmpl w:val="816E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27"/>
  </w:num>
  <w:num w:numId="7">
    <w:abstractNumId w:val="15"/>
  </w:num>
  <w:num w:numId="8">
    <w:abstractNumId w:val="1"/>
  </w:num>
  <w:num w:numId="9">
    <w:abstractNumId w:val="26"/>
  </w:num>
  <w:num w:numId="10">
    <w:abstractNumId w:val="24"/>
  </w:num>
  <w:num w:numId="11">
    <w:abstractNumId w:val="4"/>
  </w:num>
  <w:num w:numId="12">
    <w:abstractNumId w:val="36"/>
  </w:num>
  <w:num w:numId="13">
    <w:abstractNumId w:val="19"/>
  </w:num>
  <w:num w:numId="14">
    <w:abstractNumId w:val="5"/>
  </w:num>
  <w:num w:numId="15">
    <w:abstractNumId w:val="6"/>
  </w:num>
  <w:num w:numId="16">
    <w:abstractNumId w:val="18"/>
  </w:num>
  <w:num w:numId="17">
    <w:abstractNumId w:val="32"/>
  </w:num>
  <w:num w:numId="18">
    <w:abstractNumId w:val="31"/>
  </w:num>
  <w:num w:numId="19">
    <w:abstractNumId w:val="21"/>
  </w:num>
  <w:num w:numId="20">
    <w:abstractNumId w:val="35"/>
  </w:num>
  <w:num w:numId="21">
    <w:abstractNumId w:val="34"/>
  </w:num>
  <w:num w:numId="22">
    <w:abstractNumId w:val="23"/>
  </w:num>
  <w:num w:numId="23">
    <w:abstractNumId w:val="22"/>
  </w:num>
  <w:num w:numId="24">
    <w:abstractNumId w:val="8"/>
  </w:num>
  <w:num w:numId="25">
    <w:abstractNumId w:val="37"/>
  </w:num>
  <w:num w:numId="26">
    <w:abstractNumId w:val="33"/>
  </w:num>
  <w:num w:numId="27">
    <w:abstractNumId w:val="17"/>
  </w:num>
  <w:num w:numId="28">
    <w:abstractNumId w:val="11"/>
  </w:num>
  <w:num w:numId="29">
    <w:abstractNumId w:val="20"/>
  </w:num>
  <w:num w:numId="30">
    <w:abstractNumId w:val="29"/>
  </w:num>
  <w:num w:numId="31">
    <w:abstractNumId w:val="25"/>
  </w:num>
  <w:num w:numId="32">
    <w:abstractNumId w:val="12"/>
  </w:num>
  <w:num w:numId="33">
    <w:abstractNumId w:val="30"/>
  </w:num>
  <w:num w:numId="34">
    <w:abstractNumId w:val="16"/>
  </w:num>
  <w:num w:numId="35">
    <w:abstractNumId w:val="13"/>
  </w:num>
  <w:num w:numId="36">
    <w:abstractNumId w:val="0"/>
  </w:num>
  <w:num w:numId="37">
    <w:abstractNumId w:val="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5"/>
    <w:rsid w:val="00003BB9"/>
    <w:rsid w:val="00003F8F"/>
    <w:rsid w:val="00033773"/>
    <w:rsid w:val="000375A2"/>
    <w:rsid w:val="00050052"/>
    <w:rsid w:val="000706A9"/>
    <w:rsid w:val="00072BC2"/>
    <w:rsid w:val="00074C14"/>
    <w:rsid w:val="000A7BB8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2929"/>
    <w:rsid w:val="002C6FA1"/>
    <w:rsid w:val="003133FF"/>
    <w:rsid w:val="00327E9D"/>
    <w:rsid w:val="00374A81"/>
    <w:rsid w:val="003E483B"/>
    <w:rsid w:val="003F2945"/>
    <w:rsid w:val="003F778A"/>
    <w:rsid w:val="004044FB"/>
    <w:rsid w:val="004178C5"/>
    <w:rsid w:val="004358D2"/>
    <w:rsid w:val="00470D50"/>
    <w:rsid w:val="004B7AC6"/>
    <w:rsid w:val="004E256C"/>
    <w:rsid w:val="00504C0E"/>
    <w:rsid w:val="005173B5"/>
    <w:rsid w:val="00544FA6"/>
    <w:rsid w:val="00560C0F"/>
    <w:rsid w:val="00573F60"/>
    <w:rsid w:val="00586FA6"/>
    <w:rsid w:val="005D0949"/>
    <w:rsid w:val="00606C56"/>
    <w:rsid w:val="006135A3"/>
    <w:rsid w:val="006313EB"/>
    <w:rsid w:val="0064034C"/>
    <w:rsid w:val="006943A4"/>
    <w:rsid w:val="006A4513"/>
    <w:rsid w:val="006E7D18"/>
    <w:rsid w:val="00712C0D"/>
    <w:rsid w:val="0076324E"/>
    <w:rsid w:val="00795DAD"/>
    <w:rsid w:val="007F6571"/>
    <w:rsid w:val="00811F70"/>
    <w:rsid w:val="0083278D"/>
    <w:rsid w:val="00846702"/>
    <w:rsid w:val="00846A07"/>
    <w:rsid w:val="00851108"/>
    <w:rsid w:val="0086279D"/>
    <w:rsid w:val="00864E90"/>
    <w:rsid w:val="00867423"/>
    <w:rsid w:val="008750CE"/>
    <w:rsid w:val="008C3ACA"/>
    <w:rsid w:val="008E1FAE"/>
    <w:rsid w:val="009207B4"/>
    <w:rsid w:val="00960A41"/>
    <w:rsid w:val="00961ACF"/>
    <w:rsid w:val="00976ACB"/>
    <w:rsid w:val="009A0590"/>
    <w:rsid w:val="009B7B84"/>
    <w:rsid w:val="009E4453"/>
    <w:rsid w:val="00A07FE2"/>
    <w:rsid w:val="00A23B10"/>
    <w:rsid w:val="00A315E0"/>
    <w:rsid w:val="00A33C79"/>
    <w:rsid w:val="00A376DD"/>
    <w:rsid w:val="00A81E6C"/>
    <w:rsid w:val="00AD723C"/>
    <w:rsid w:val="00AE3296"/>
    <w:rsid w:val="00AF6F39"/>
    <w:rsid w:val="00B07D2E"/>
    <w:rsid w:val="00B3289C"/>
    <w:rsid w:val="00B40C2D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922FB"/>
    <w:rsid w:val="00CA3343"/>
    <w:rsid w:val="00D17179"/>
    <w:rsid w:val="00D179D5"/>
    <w:rsid w:val="00D278FD"/>
    <w:rsid w:val="00D307BA"/>
    <w:rsid w:val="00D4438F"/>
    <w:rsid w:val="00D74523"/>
    <w:rsid w:val="00D74D84"/>
    <w:rsid w:val="00D95287"/>
    <w:rsid w:val="00DA75CB"/>
    <w:rsid w:val="00DF62ED"/>
    <w:rsid w:val="00E21FE3"/>
    <w:rsid w:val="00E37A30"/>
    <w:rsid w:val="00E50D66"/>
    <w:rsid w:val="00E52171"/>
    <w:rsid w:val="00E52BC6"/>
    <w:rsid w:val="00E60A09"/>
    <w:rsid w:val="00ED67CE"/>
    <w:rsid w:val="00EF210B"/>
    <w:rsid w:val="00F601F8"/>
    <w:rsid w:val="00FA4B53"/>
    <w:rsid w:val="00FC43A1"/>
    <w:rsid w:val="00FC598A"/>
    <w:rsid w:val="00FC5FEF"/>
    <w:rsid w:val="00FD506E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410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 Admin</cp:lastModifiedBy>
  <cp:revision>2</cp:revision>
  <cp:lastPrinted>2014-10-13T02:14:00Z</cp:lastPrinted>
  <dcterms:created xsi:type="dcterms:W3CDTF">2015-10-13T13:05:00Z</dcterms:created>
  <dcterms:modified xsi:type="dcterms:W3CDTF">2015-10-13T13:05:00Z</dcterms:modified>
</cp:coreProperties>
</file>