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152403">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152403">
              <w:rPr>
                <w:color w:val="00B050"/>
                <w:sz w:val="32"/>
                <w:szCs w:val="32"/>
              </w:rPr>
              <w:t>3</w:t>
            </w:r>
          </w:p>
        </w:tc>
        <w:tc>
          <w:tcPr>
            <w:tcW w:w="3599" w:type="dxa"/>
          </w:tcPr>
          <w:p w:rsidR="009E4453" w:rsidRPr="009E4453" w:rsidRDefault="00CF76E8" w:rsidP="00CF76E8">
            <w:r>
              <w:t>Block</w:t>
            </w:r>
            <w:r w:rsidR="00560C0F">
              <w:t>(s)</w:t>
            </w:r>
            <w:r w:rsidR="009E4453" w:rsidRPr="009E4453">
              <w:t>:</w:t>
            </w:r>
            <w:r w:rsidR="009E4453">
              <w:t xml:space="preserve"> </w:t>
            </w:r>
            <w:r w:rsidR="00152403">
              <w:t xml:space="preserve"> </w:t>
            </w:r>
            <w:r w:rsidR="000F24CB">
              <w:t>1</w:t>
            </w:r>
            <w:r w:rsidRPr="00CF76E8">
              <w:rPr>
                <w:vertAlign w:val="superscript"/>
              </w:rPr>
              <w:t>st</w:t>
            </w:r>
            <w:r>
              <w:t>, 3</w:t>
            </w:r>
            <w:r w:rsidRPr="00CF76E8">
              <w:rPr>
                <w:vertAlign w:val="superscript"/>
              </w:rPr>
              <w:t>rd</w:t>
            </w:r>
            <w:r>
              <w:t xml:space="preserve"> &amp; 4th</w:t>
            </w:r>
          </w:p>
        </w:tc>
        <w:tc>
          <w:tcPr>
            <w:tcW w:w="3599" w:type="dxa"/>
          </w:tcPr>
          <w:p w:rsidR="009E4453" w:rsidRPr="009E4453" w:rsidRDefault="009E4453" w:rsidP="004252DE">
            <w:r w:rsidRPr="009E4453">
              <w:t xml:space="preserve">Week </w:t>
            </w:r>
            <w:r w:rsidR="00560C0F">
              <w:t>of</w:t>
            </w:r>
            <w:r w:rsidRPr="009E4453">
              <w:t>:</w:t>
            </w:r>
            <w:r w:rsidR="00033773">
              <w:t xml:space="preserve"> </w:t>
            </w:r>
            <w:r w:rsidR="000F24CB">
              <w:t xml:space="preserve">August </w:t>
            </w:r>
            <w:r w:rsidR="004252DE">
              <w:t>31</w:t>
            </w:r>
            <w:r w:rsidR="00CF76E8">
              <w:t>, 2015</w:t>
            </w:r>
          </w:p>
        </w:tc>
      </w:tr>
    </w:tbl>
    <w:p w:rsidR="009E4453" w:rsidRDefault="009E4453"/>
    <w:tbl>
      <w:tblPr>
        <w:tblStyle w:val="TableGrid"/>
        <w:tblW w:w="14400" w:type="dxa"/>
        <w:tblLook w:val="04A0" w:firstRow="1" w:lastRow="0" w:firstColumn="1" w:lastColumn="0" w:noHBand="0" w:noVBand="1"/>
      </w:tblPr>
      <w:tblGrid>
        <w:gridCol w:w="526"/>
        <w:gridCol w:w="1392"/>
        <w:gridCol w:w="1382"/>
        <w:gridCol w:w="1322"/>
        <w:gridCol w:w="1485"/>
        <w:gridCol w:w="1421"/>
        <w:gridCol w:w="2010"/>
        <w:gridCol w:w="1846"/>
        <w:gridCol w:w="1350"/>
        <w:gridCol w:w="1666"/>
      </w:tblGrid>
      <w:tr w:rsidR="00DF62ED" w:rsidTr="00E52BC6">
        <w:tc>
          <w:tcPr>
            <w:tcW w:w="526" w:type="dxa"/>
          </w:tcPr>
          <w:p w:rsidR="00DF62ED" w:rsidRDefault="00DF62ED"/>
        </w:tc>
        <w:tc>
          <w:tcPr>
            <w:tcW w:w="1392" w:type="dxa"/>
            <w:vAlign w:val="center"/>
          </w:tcPr>
          <w:p w:rsidR="00DF62ED" w:rsidRDefault="00DF62ED" w:rsidP="004B7AC6">
            <w:pPr>
              <w:jc w:val="center"/>
            </w:pPr>
            <w:r>
              <w:t>Standards</w:t>
            </w:r>
          </w:p>
        </w:tc>
        <w:tc>
          <w:tcPr>
            <w:tcW w:w="1382" w:type="dxa"/>
            <w:tcBorders>
              <w:right w:val="nil"/>
            </w:tcBorders>
            <w:vAlign w:val="center"/>
          </w:tcPr>
          <w:p w:rsidR="00DF62ED" w:rsidRDefault="00DF62ED" w:rsidP="008C3ACA">
            <w:pPr>
              <w:jc w:val="center"/>
            </w:pPr>
            <w:r>
              <w:t>Goals</w:t>
            </w:r>
          </w:p>
        </w:tc>
        <w:tc>
          <w:tcPr>
            <w:tcW w:w="1322"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421"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2010" w:type="dxa"/>
            <w:tcBorders>
              <w:right w:val="nil"/>
            </w:tcBorders>
            <w:vAlign w:val="center"/>
          </w:tcPr>
          <w:p w:rsidR="00DF62ED" w:rsidRDefault="00DF62ED" w:rsidP="00327E9D">
            <w:pPr>
              <w:jc w:val="center"/>
            </w:pPr>
            <w:r>
              <w:t>Activities</w:t>
            </w:r>
          </w:p>
        </w:tc>
        <w:tc>
          <w:tcPr>
            <w:tcW w:w="1846"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6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C359DA" w:rsidTr="00243DA2">
        <w:trPr>
          <w:cantSplit/>
          <w:trHeight w:val="1646"/>
        </w:trPr>
        <w:tc>
          <w:tcPr>
            <w:tcW w:w="526" w:type="dxa"/>
            <w:textDirection w:val="btLr"/>
            <w:vAlign w:val="center"/>
          </w:tcPr>
          <w:p w:rsidR="00C359DA" w:rsidRPr="00560C0F" w:rsidRDefault="000F24CB" w:rsidP="00560C0F">
            <w:pPr>
              <w:ind w:left="113" w:right="113"/>
              <w:jc w:val="center"/>
              <w:rPr>
                <w:b/>
              </w:rPr>
            </w:pPr>
            <w:r>
              <w:rPr>
                <w:b/>
              </w:rPr>
              <w:t>Mon</w:t>
            </w:r>
            <w:r w:rsidR="00C359DA" w:rsidRPr="00560C0F">
              <w:rPr>
                <w:b/>
              </w:rPr>
              <w:t>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Participate in the study of The Crucible.</w:t>
            </w:r>
            <w:r w:rsidR="004252DE">
              <w:t xml:space="preserve"> Act II</w:t>
            </w:r>
          </w:p>
          <w:p w:rsidR="00C359DA" w:rsidRDefault="00C359DA" w:rsidP="00B610EE">
            <w:r>
              <w:t>Read and analyze the play.</w:t>
            </w:r>
          </w:p>
          <w:p w:rsidR="00C359DA" w:rsidRDefault="00C359DA" w:rsidP="000F24CB">
            <w:r>
              <w:t>Understand how the play connects with prior knowledge</w:t>
            </w:r>
            <w:r w:rsidR="000F24CB">
              <w:t>.</w:t>
            </w:r>
          </w:p>
        </w:tc>
        <w:tc>
          <w:tcPr>
            <w:tcW w:w="2906" w:type="dxa"/>
            <w:gridSpan w:val="2"/>
            <w:vAlign w:val="center"/>
          </w:tcPr>
          <w:p w:rsidR="00C359DA" w:rsidRDefault="00C359DA" w:rsidP="004252DE">
            <w:r>
              <w:t>Provide Daily Oral Language.  Written response to prompt and discussion of prompt.  Oral information on background of play.  Discussion and written response to post-reading questions.  Silent reading of self-selected novel.</w:t>
            </w:r>
          </w:p>
        </w:tc>
        <w:tc>
          <w:tcPr>
            <w:tcW w:w="3856" w:type="dxa"/>
            <w:gridSpan w:val="2"/>
            <w:vAlign w:val="center"/>
          </w:tcPr>
          <w:p w:rsidR="00C359DA" w:rsidRPr="000F24CB" w:rsidRDefault="00C359DA" w:rsidP="00C359DA">
            <w:pPr>
              <w:pStyle w:val="ListParagraph"/>
              <w:numPr>
                <w:ilvl w:val="0"/>
                <w:numId w:val="27"/>
              </w:numPr>
            </w:pPr>
            <w:r w:rsidRPr="000F24CB">
              <w:t xml:space="preserve"> Vocabulary review and charades</w:t>
            </w:r>
          </w:p>
          <w:p w:rsidR="00C359DA" w:rsidRPr="000F24CB" w:rsidRDefault="00C359DA" w:rsidP="00C359DA">
            <w:pPr>
              <w:pStyle w:val="ListParagraph"/>
              <w:numPr>
                <w:ilvl w:val="0"/>
                <w:numId w:val="27"/>
              </w:numPr>
            </w:pPr>
            <w:r w:rsidRPr="000F24CB">
              <w:t>Complete “Crucible” pre-reading writing prompt</w:t>
            </w:r>
          </w:p>
          <w:p w:rsidR="00C359DA" w:rsidRPr="000F24CB" w:rsidRDefault="00C359DA" w:rsidP="00C359DA">
            <w:pPr>
              <w:pStyle w:val="ListParagraph"/>
              <w:numPr>
                <w:ilvl w:val="0"/>
                <w:numId w:val="27"/>
              </w:numPr>
            </w:pPr>
            <w:r w:rsidRPr="000F24CB">
              <w:t>Receive background information on “The Crucible”</w:t>
            </w:r>
          </w:p>
          <w:p w:rsidR="00C359DA" w:rsidRPr="000F24CB" w:rsidRDefault="00C359DA" w:rsidP="00C359DA">
            <w:pPr>
              <w:pStyle w:val="ListParagraph"/>
              <w:numPr>
                <w:ilvl w:val="0"/>
                <w:numId w:val="27"/>
              </w:numPr>
            </w:pPr>
            <w:r w:rsidRPr="000F24CB">
              <w:t>Begin reading and discussing the play</w:t>
            </w:r>
          </w:p>
          <w:p w:rsidR="00C359DA" w:rsidRPr="000F24CB" w:rsidRDefault="00C359DA" w:rsidP="00C359DA">
            <w:pPr>
              <w:pStyle w:val="ListParagraph"/>
              <w:numPr>
                <w:ilvl w:val="0"/>
                <w:numId w:val="27"/>
              </w:numPr>
            </w:pPr>
            <w:r w:rsidRPr="000F24CB">
              <w:t>Post-reading discussion and questions</w:t>
            </w:r>
          </w:p>
          <w:p w:rsidR="00C359DA" w:rsidRPr="00D70189" w:rsidRDefault="00C359DA" w:rsidP="00C359DA">
            <w:pPr>
              <w:pStyle w:val="ListParagraph"/>
              <w:numPr>
                <w:ilvl w:val="0"/>
                <w:numId w:val="27"/>
              </w:numPr>
              <w:rPr>
                <w:sz w:val="18"/>
                <w:szCs w:val="18"/>
              </w:rPr>
            </w:pPr>
            <w:r w:rsidRPr="000F24CB">
              <w:t>SSR</w:t>
            </w:r>
          </w:p>
        </w:tc>
        <w:tc>
          <w:tcPr>
            <w:tcW w:w="3016" w:type="dxa"/>
            <w:gridSpan w:val="2"/>
          </w:tcPr>
          <w:p w:rsidR="00C359DA" w:rsidRDefault="00C359DA" w:rsidP="004252DE">
            <w:r>
              <w:t xml:space="preserve">Performance on </w:t>
            </w:r>
            <w:r w:rsidR="004252DE">
              <w:t>daily oral language</w:t>
            </w:r>
            <w:bookmarkStart w:id="0" w:name="_GoBack"/>
            <w:bookmarkEnd w:id="0"/>
            <w:r>
              <w:t>.  Prompt. Understanding of play.  Discussion and questions.</w:t>
            </w:r>
          </w:p>
        </w:tc>
      </w:tr>
      <w:tr w:rsidR="00C359DA" w:rsidTr="00F43A3F">
        <w:trPr>
          <w:cantSplit/>
          <w:trHeight w:val="1493"/>
        </w:trPr>
        <w:tc>
          <w:tcPr>
            <w:tcW w:w="526" w:type="dxa"/>
            <w:textDirection w:val="btLr"/>
            <w:vAlign w:val="center"/>
          </w:tcPr>
          <w:p w:rsidR="00C359DA" w:rsidRPr="00560C0F" w:rsidRDefault="000F24CB" w:rsidP="00560C0F">
            <w:pPr>
              <w:ind w:left="113" w:right="113"/>
              <w:jc w:val="center"/>
              <w:rPr>
                <w:b/>
              </w:rPr>
            </w:pPr>
            <w:r>
              <w:rPr>
                <w:b/>
              </w:rPr>
              <w:t>Tue</w:t>
            </w:r>
            <w:r w:rsidR="00C359DA" w:rsidRPr="00560C0F">
              <w:rPr>
                <w:b/>
              </w:rPr>
              <w:t>sday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 xml:space="preserve">Participate in the study of </w:t>
            </w:r>
            <w:r w:rsidR="00CF76E8">
              <w:t>Exploration &amp; Sett</w:t>
            </w:r>
            <w:r w:rsidR="00B52C04">
              <w:t>l</w:t>
            </w:r>
            <w:r w:rsidR="00CF76E8">
              <w:t>ement</w:t>
            </w:r>
            <w:r>
              <w:t>.</w:t>
            </w:r>
          </w:p>
          <w:p w:rsidR="00C359DA" w:rsidRDefault="00CF76E8" w:rsidP="000F24CB">
            <w:r>
              <w:t>From Collection 1</w:t>
            </w:r>
          </w:p>
          <w:p w:rsidR="00B52C04" w:rsidRDefault="00B52C04" w:rsidP="000F24CB">
            <w:r>
              <w:t>… analyze the selections in the collection in terms of historical context</w:t>
            </w:r>
          </w:p>
        </w:tc>
        <w:tc>
          <w:tcPr>
            <w:tcW w:w="2906" w:type="dxa"/>
            <w:gridSpan w:val="2"/>
          </w:tcPr>
          <w:p w:rsidR="00C359DA" w:rsidRDefault="00C359DA" w:rsidP="00B610EE">
            <w:r>
              <w:t xml:space="preserve">Provide Daily Oral Language.  </w:t>
            </w:r>
          </w:p>
          <w:p w:rsidR="00C359DA" w:rsidRDefault="009D3CCB" w:rsidP="009D3CCB">
            <w:r>
              <w:t xml:space="preserve">Have students read and discuss European Contact with North America, English Settlements; Spain and France in North America, and Early American Literature. Analyze accounts in different mediums; Analyze Author’s Order: Sequence of Events. </w:t>
            </w:r>
          </w:p>
        </w:tc>
        <w:tc>
          <w:tcPr>
            <w:tcW w:w="3856" w:type="dxa"/>
            <w:gridSpan w:val="2"/>
          </w:tcPr>
          <w:p w:rsidR="00C359DA" w:rsidRDefault="009059CC" w:rsidP="009059CC">
            <w:r>
              <w:t>Students to take notes for historical introduction; Small groups will work together to review examples of dates mentioned in the running texts, to identify which dates are also mentioned in the timeline and which are not, and to discuss how each format presents information differently.</w:t>
            </w:r>
          </w:p>
        </w:tc>
        <w:tc>
          <w:tcPr>
            <w:tcW w:w="3016" w:type="dxa"/>
            <w:gridSpan w:val="2"/>
          </w:tcPr>
          <w:p w:rsidR="00C359DA" w:rsidRDefault="009059CC" w:rsidP="00B504BC">
            <w:r>
              <w:t>Close Reading Application</w:t>
            </w:r>
            <w:r w:rsidR="00B504BC">
              <w:t>. Students will work independently to read another example of nonfiction text in which an author structures a series of events sequentially.</w:t>
            </w:r>
          </w:p>
        </w:tc>
      </w:tr>
      <w:tr w:rsidR="00C359DA" w:rsidTr="00E52BC6">
        <w:trPr>
          <w:cantSplit/>
          <w:trHeight w:val="1700"/>
        </w:trPr>
        <w:tc>
          <w:tcPr>
            <w:tcW w:w="526" w:type="dxa"/>
            <w:textDirection w:val="btLr"/>
            <w:vAlign w:val="center"/>
          </w:tcPr>
          <w:p w:rsidR="00C359DA" w:rsidRDefault="000F24CB" w:rsidP="00003BB9">
            <w:pPr>
              <w:ind w:left="113" w:right="113"/>
              <w:jc w:val="center"/>
              <w:rPr>
                <w:b/>
              </w:rPr>
            </w:pPr>
            <w:r>
              <w:rPr>
                <w:b/>
              </w:rPr>
              <w:lastRenderedPageBreak/>
              <w:t>Wedne</w:t>
            </w:r>
            <w:r w:rsidR="00C359DA">
              <w:rPr>
                <w:b/>
              </w:rPr>
              <w:t>sday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Participate in the study of The Crucible.</w:t>
            </w:r>
          </w:p>
          <w:p w:rsidR="00C359DA" w:rsidRDefault="00C359DA" w:rsidP="00B610EE">
            <w:r>
              <w:t>Read and analyze the play.</w:t>
            </w:r>
          </w:p>
          <w:p w:rsidR="00C359DA" w:rsidRDefault="00C359DA" w:rsidP="00B610EE">
            <w:r>
              <w:t xml:space="preserve">Understand how the play connects with prior knowledge gained from Early American literature previously </w:t>
            </w:r>
            <w:proofErr w:type="gramStart"/>
            <w:r>
              <w:t>studied .</w:t>
            </w:r>
            <w:proofErr w:type="gramEnd"/>
          </w:p>
        </w:tc>
        <w:tc>
          <w:tcPr>
            <w:tcW w:w="2906" w:type="dxa"/>
            <w:gridSpan w:val="2"/>
          </w:tcPr>
          <w:p w:rsidR="00C359DA" w:rsidRDefault="00C359DA" w:rsidP="00B610EE">
            <w:r>
              <w:t xml:space="preserve">Provide Daily Oral Language.  </w:t>
            </w:r>
          </w:p>
          <w:p w:rsidR="00C359DA" w:rsidRDefault="00C359DA" w:rsidP="00B610EE">
            <w:r>
              <w:t>Oral review and discussion.  Oral reading and discussion.  Written prompt regarding “The Crucible”.  Written definitions and synonyms and antonyms.  Silent reading of self-selected novel.</w:t>
            </w:r>
          </w:p>
        </w:tc>
        <w:tc>
          <w:tcPr>
            <w:tcW w:w="3856" w:type="dxa"/>
            <w:gridSpan w:val="2"/>
          </w:tcPr>
          <w:p w:rsidR="00C359DA" w:rsidRDefault="00C359DA" w:rsidP="00C359DA">
            <w:pPr>
              <w:pStyle w:val="ListParagraph"/>
              <w:numPr>
                <w:ilvl w:val="0"/>
                <w:numId w:val="29"/>
              </w:numPr>
            </w:pPr>
            <w:r>
              <w:t xml:space="preserve"> Review “Crucible”</w:t>
            </w:r>
          </w:p>
          <w:p w:rsidR="00C359DA" w:rsidRDefault="00C359DA" w:rsidP="00C359DA">
            <w:pPr>
              <w:pStyle w:val="ListParagraph"/>
              <w:numPr>
                <w:ilvl w:val="0"/>
                <w:numId w:val="29"/>
              </w:numPr>
            </w:pPr>
            <w:r>
              <w:t>Read and discuss play</w:t>
            </w:r>
          </w:p>
          <w:p w:rsidR="00C359DA" w:rsidRDefault="00C359DA" w:rsidP="00C359DA">
            <w:pPr>
              <w:pStyle w:val="ListParagraph"/>
              <w:numPr>
                <w:ilvl w:val="0"/>
                <w:numId w:val="29"/>
              </w:numPr>
            </w:pPr>
            <w:r>
              <w:t>Post-reading discussion</w:t>
            </w:r>
          </w:p>
          <w:p w:rsidR="00C359DA" w:rsidRDefault="00C359DA" w:rsidP="00C359DA">
            <w:pPr>
              <w:pStyle w:val="ListParagraph"/>
              <w:numPr>
                <w:ilvl w:val="0"/>
                <w:numId w:val="29"/>
              </w:numPr>
            </w:pPr>
            <w:r>
              <w:t>Post-reading writing prompt</w:t>
            </w:r>
          </w:p>
          <w:p w:rsidR="00C359DA" w:rsidRDefault="00C359DA" w:rsidP="00C359DA">
            <w:pPr>
              <w:pStyle w:val="ListParagraph"/>
              <w:numPr>
                <w:ilvl w:val="0"/>
                <w:numId w:val="29"/>
              </w:numPr>
            </w:pPr>
            <w:r>
              <w:t>Complete vocabulary definitions and synonyms and antonyms</w:t>
            </w:r>
          </w:p>
          <w:p w:rsidR="00C359DA" w:rsidRDefault="00C359DA" w:rsidP="00C359DA">
            <w:pPr>
              <w:pStyle w:val="ListParagraph"/>
              <w:numPr>
                <w:ilvl w:val="0"/>
                <w:numId w:val="29"/>
              </w:numPr>
            </w:pPr>
            <w:r>
              <w:t>SSR</w:t>
            </w:r>
          </w:p>
        </w:tc>
        <w:tc>
          <w:tcPr>
            <w:tcW w:w="3016" w:type="dxa"/>
            <w:gridSpan w:val="2"/>
          </w:tcPr>
          <w:p w:rsidR="00C359DA" w:rsidRDefault="00C359DA" w:rsidP="00B610EE">
            <w:r>
              <w:t>Comprehension of play as evidenced by oral review.  Correct response on writing prompt.  Definitions and synonyms and antonyms of words.</w:t>
            </w:r>
          </w:p>
        </w:tc>
      </w:tr>
      <w:tr w:rsidR="00C359DA" w:rsidTr="003E7C7B">
        <w:trPr>
          <w:cantSplit/>
          <w:trHeight w:val="1700"/>
        </w:trPr>
        <w:tc>
          <w:tcPr>
            <w:tcW w:w="526" w:type="dxa"/>
            <w:textDirection w:val="btLr"/>
            <w:vAlign w:val="center"/>
          </w:tcPr>
          <w:p w:rsidR="00C359DA" w:rsidRDefault="000F24CB" w:rsidP="0086279D">
            <w:pPr>
              <w:ind w:left="113" w:right="113"/>
              <w:jc w:val="center"/>
              <w:rPr>
                <w:b/>
              </w:rPr>
            </w:pPr>
            <w:r>
              <w:rPr>
                <w:b/>
              </w:rPr>
              <w:t>Thurs</w:t>
            </w:r>
            <w:r w:rsidR="00C359DA">
              <w:rPr>
                <w:b/>
              </w:rPr>
              <w:t>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A0673B" w:rsidP="00B610EE">
            <w:r>
              <w:t>Based on Collection 1 – Students will be able to identify and analyze the central ideas of a foundational text.</w:t>
            </w:r>
          </w:p>
        </w:tc>
        <w:tc>
          <w:tcPr>
            <w:tcW w:w="2906" w:type="dxa"/>
            <w:gridSpan w:val="2"/>
          </w:tcPr>
          <w:p w:rsidR="00C359DA" w:rsidRDefault="00B504BC" w:rsidP="00A0673B">
            <w:r>
              <w:t>From Of Plymouth Plantation</w:t>
            </w:r>
            <w:r w:rsidR="00A0673B">
              <w:t>. Teach analyzing foundational texts; determining central ideas; understanding usage, analyzing key terms.</w:t>
            </w:r>
          </w:p>
        </w:tc>
        <w:tc>
          <w:tcPr>
            <w:tcW w:w="3856" w:type="dxa"/>
            <w:gridSpan w:val="2"/>
          </w:tcPr>
          <w:p w:rsidR="00A0673B" w:rsidRDefault="00A0673B" w:rsidP="00B504BC">
            <w:r>
              <w:t>Students will analyze foundational texts; determine central ideas; understand usage, analyze key terms.</w:t>
            </w:r>
          </w:p>
          <w:p w:rsidR="00A0673B" w:rsidRDefault="00DD3CE5" w:rsidP="00B504BC">
            <w:r>
              <w:t xml:space="preserve">Close Read Screencasts – class viewing and discussion of at least one of the videos. </w:t>
            </w:r>
          </w:p>
          <w:p w:rsidR="00C359DA" w:rsidRPr="00A0673B" w:rsidRDefault="00C359DA" w:rsidP="00A0673B"/>
        </w:tc>
        <w:tc>
          <w:tcPr>
            <w:tcW w:w="3016" w:type="dxa"/>
            <w:gridSpan w:val="2"/>
          </w:tcPr>
          <w:p w:rsidR="00C359DA" w:rsidRDefault="00DD3CE5" w:rsidP="00B610EE">
            <w:r>
              <w:t>Students will determine central ideas and analyze foundational texts.</w:t>
            </w:r>
          </w:p>
        </w:tc>
      </w:tr>
      <w:tr w:rsidR="00DD3CE5" w:rsidTr="00DD3CE5">
        <w:trPr>
          <w:cantSplit/>
          <w:trHeight w:val="1700"/>
        </w:trPr>
        <w:tc>
          <w:tcPr>
            <w:tcW w:w="526" w:type="dxa"/>
            <w:textDirection w:val="btLr"/>
            <w:vAlign w:val="center"/>
          </w:tcPr>
          <w:p w:rsidR="00DD3CE5" w:rsidRDefault="00DD3CE5" w:rsidP="00DD3CE5">
            <w:pPr>
              <w:ind w:left="113" w:right="113"/>
              <w:jc w:val="center"/>
              <w:rPr>
                <w:b/>
              </w:rPr>
            </w:pPr>
            <w:r>
              <w:rPr>
                <w:b/>
              </w:rPr>
              <w:t>Friday</w:t>
            </w:r>
          </w:p>
        </w:tc>
        <w:tc>
          <w:tcPr>
            <w:tcW w:w="1392" w:type="dxa"/>
          </w:tcPr>
          <w:p w:rsidR="00DD3CE5" w:rsidRDefault="00DD3CE5" w:rsidP="00DD3CE5">
            <w:r>
              <w:t>ELACC11-</w:t>
            </w:r>
          </w:p>
          <w:p w:rsidR="00DD3CE5" w:rsidRDefault="00DD3CE5" w:rsidP="00DD3CE5">
            <w:r>
              <w:t>12RL 1,2</w:t>
            </w:r>
          </w:p>
          <w:p w:rsidR="00DD3CE5" w:rsidRDefault="00DD3CE5" w:rsidP="00DD3CE5"/>
          <w:p w:rsidR="00DD3CE5" w:rsidRDefault="00DD3CE5" w:rsidP="00DD3CE5">
            <w:r>
              <w:t>ELACC11-</w:t>
            </w:r>
          </w:p>
          <w:p w:rsidR="00DD3CE5" w:rsidRDefault="00DD3CE5" w:rsidP="00DD3CE5">
            <w:r>
              <w:t xml:space="preserve">12W 1c, </w:t>
            </w:r>
          </w:p>
          <w:p w:rsidR="00DD3CE5" w:rsidRDefault="00DD3CE5" w:rsidP="00DD3CE5">
            <w:r>
              <w:t>1d, 2b, 3</w:t>
            </w:r>
          </w:p>
        </w:tc>
        <w:tc>
          <w:tcPr>
            <w:tcW w:w="2704" w:type="dxa"/>
            <w:gridSpan w:val="2"/>
          </w:tcPr>
          <w:p w:rsidR="00DD3CE5" w:rsidRDefault="00DD3CE5" w:rsidP="00DD3CE5">
            <w:r>
              <w:t>Based on Collection 1 – Students will be able to identify and analyze the central ideas of a foundational text.</w:t>
            </w:r>
          </w:p>
        </w:tc>
        <w:tc>
          <w:tcPr>
            <w:tcW w:w="2906" w:type="dxa"/>
            <w:gridSpan w:val="2"/>
          </w:tcPr>
          <w:p w:rsidR="00DD3CE5" w:rsidRDefault="00DD3CE5" w:rsidP="00DD3CE5">
            <w:r>
              <w:t>From Of Plymouth Plantation. Teach analyzing foundational texts; determining central ideas; understanding usage, analyzing key terms.</w:t>
            </w:r>
          </w:p>
        </w:tc>
        <w:tc>
          <w:tcPr>
            <w:tcW w:w="3856" w:type="dxa"/>
            <w:gridSpan w:val="2"/>
          </w:tcPr>
          <w:p w:rsidR="00DD3CE5" w:rsidRDefault="00DD3CE5" w:rsidP="00DD3CE5">
            <w:r>
              <w:t>Students will analyze foundational texts; determine central ideas; understand usage, analyze key terms.</w:t>
            </w:r>
          </w:p>
          <w:p w:rsidR="00DD3CE5" w:rsidRDefault="00DD3CE5" w:rsidP="00DD3CE5">
            <w:r>
              <w:t xml:space="preserve">Close Read Screencasts – class viewing and discussion of at least one of the videos. </w:t>
            </w:r>
          </w:p>
          <w:p w:rsidR="00DD3CE5" w:rsidRPr="00A0673B" w:rsidRDefault="00DD3CE5" w:rsidP="00DD3CE5"/>
        </w:tc>
        <w:tc>
          <w:tcPr>
            <w:tcW w:w="3016" w:type="dxa"/>
            <w:gridSpan w:val="2"/>
          </w:tcPr>
          <w:p w:rsidR="00DD3CE5" w:rsidRDefault="00DD3CE5" w:rsidP="00DD3CE5">
            <w:r>
              <w:t>Students will determine central ideas and analyze foundational texts.</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022"/>
    <w:multiLevelType w:val="hybridMultilevel"/>
    <w:tmpl w:val="53A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CA4"/>
    <w:multiLevelType w:val="hybridMultilevel"/>
    <w:tmpl w:val="4F8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543D"/>
    <w:multiLevelType w:val="hybridMultilevel"/>
    <w:tmpl w:val="FAA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50B"/>
    <w:multiLevelType w:val="hybridMultilevel"/>
    <w:tmpl w:val="19C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3A22"/>
    <w:multiLevelType w:val="hybridMultilevel"/>
    <w:tmpl w:val="3FC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4F59"/>
    <w:multiLevelType w:val="hybridMultilevel"/>
    <w:tmpl w:val="9538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820A0"/>
    <w:multiLevelType w:val="hybridMultilevel"/>
    <w:tmpl w:val="DC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AFB"/>
    <w:multiLevelType w:val="hybridMultilevel"/>
    <w:tmpl w:val="228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FB9"/>
    <w:multiLevelType w:val="hybridMultilevel"/>
    <w:tmpl w:val="FBCC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2FA"/>
    <w:multiLevelType w:val="hybridMultilevel"/>
    <w:tmpl w:val="B8A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60B1"/>
    <w:multiLevelType w:val="hybridMultilevel"/>
    <w:tmpl w:val="FAF0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93E"/>
    <w:multiLevelType w:val="hybridMultilevel"/>
    <w:tmpl w:val="32A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1F"/>
    <w:multiLevelType w:val="hybridMultilevel"/>
    <w:tmpl w:val="0B7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636C"/>
    <w:multiLevelType w:val="hybridMultilevel"/>
    <w:tmpl w:val="9BE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6C2D"/>
    <w:multiLevelType w:val="hybridMultilevel"/>
    <w:tmpl w:val="EC7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6E0"/>
    <w:multiLevelType w:val="hybridMultilevel"/>
    <w:tmpl w:val="498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73E3B"/>
    <w:multiLevelType w:val="hybridMultilevel"/>
    <w:tmpl w:val="EC4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0BF"/>
    <w:multiLevelType w:val="hybridMultilevel"/>
    <w:tmpl w:val="91D6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E0819"/>
    <w:multiLevelType w:val="hybridMultilevel"/>
    <w:tmpl w:val="FDC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2E3"/>
    <w:multiLevelType w:val="hybridMultilevel"/>
    <w:tmpl w:val="4490D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6D6B0318"/>
    <w:multiLevelType w:val="hybridMultilevel"/>
    <w:tmpl w:val="AC8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7503"/>
    <w:multiLevelType w:val="hybridMultilevel"/>
    <w:tmpl w:val="8A1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031A"/>
    <w:multiLevelType w:val="hybridMultilevel"/>
    <w:tmpl w:val="F1B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3460"/>
    <w:multiLevelType w:val="hybridMultilevel"/>
    <w:tmpl w:val="28F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24A"/>
    <w:multiLevelType w:val="hybridMultilevel"/>
    <w:tmpl w:val="EF0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21"/>
  </w:num>
  <w:num w:numId="7">
    <w:abstractNumId w:val="11"/>
  </w:num>
  <w:num w:numId="8">
    <w:abstractNumId w:val="0"/>
  </w:num>
  <w:num w:numId="9">
    <w:abstractNumId w:val="20"/>
  </w:num>
  <w:num w:numId="10">
    <w:abstractNumId w:val="19"/>
  </w:num>
  <w:num w:numId="11">
    <w:abstractNumId w:val="3"/>
  </w:num>
  <w:num w:numId="12">
    <w:abstractNumId w:val="28"/>
  </w:num>
  <w:num w:numId="13">
    <w:abstractNumId w:val="14"/>
  </w:num>
  <w:num w:numId="14">
    <w:abstractNumId w:val="4"/>
  </w:num>
  <w:num w:numId="15">
    <w:abstractNumId w:val="5"/>
  </w:num>
  <w:num w:numId="16">
    <w:abstractNumId w:val="13"/>
  </w:num>
  <w:num w:numId="17">
    <w:abstractNumId w:val="24"/>
  </w:num>
  <w:num w:numId="18">
    <w:abstractNumId w:val="23"/>
  </w:num>
  <w:num w:numId="19">
    <w:abstractNumId w:val="16"/>
  </w:num>
  <w:num w:numId="20">
    <w:abstractNumId w:val="27"/>
  </w:num>
  <w:num w:numId="21">
    <w:abstractNumId w:val="26"/>
  </w:num>
  <w:num w:numId="22">
    <w:abstractNumId w:val="18"/>
  </w:num>
  <w:num w:numId="23">
    <w:abstractNumId w:val="17"/>
  </w:num>
  <w:num w:numId="24">
    <w:abstractNumId w:val="6"/>
  </w:num>
  <w:num w:numId="25">
    <w:abstractNumId w:val="29"/>
  </w:num>
  <w:num w:numId="26">
    <w:abstractNumId w:val="25"/>
  </w:num>
  <w:num w:numId="27">
    <w:abstractNumId w:val="12"/>
  </w:num>
  <w:num w:numId="28">
    <w:abstractNumId w:val="9"/>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03BB9"/>
    <w:rsid w:val="00003F8F"/>
    <w:rsid w:val="00033773"/>
    <w:rsid w:val="00050052"/>
    <w:rsid w:val="00072BC2"/>
    <w:rsid w:val="00074C14"/>
    <w:rsid w:val="000A7BB8"/>
    <w:rsid w:val="000F24CB"/>
    <w:rsid w:val="00152403"/>
    <w:rsid w:val="001549C8"/>
    <w:rsid w:val="001777D9"/>
    <w:rsid w:val="001B06D3"/>
    <w:rsid w:val="001C1CAB"/>
    <w:rsid w:val="00201BD8"/>
    <w:rsid w:val="00207439"/>
    <w:rsid w:val="002420DE"/>
    <w:rsid w:val="00276C97"/>
    <w:rsid w:val="002A339A"/>
    <w:rsid w:val="002C6FA1"/>
    <w:rsid w:val="003133FF"/>
    <w:rsid w:val="00327E9D"/>
    <w:rsid w:val="003F2945"/>
    <w:rsid w:val="003F778A"/>
    <w:rsid w:val="004044FB"/>
    <w:rsid w:val="004178C5"/>
    <w:rsid w:val="004252DE"/>
    <w:rsid w:val="004358D2"/>
    <w:rsid w:val="004B7AC6"/>
    <w:rsid w:val="004E256C"/>
    <w:rsid w:val="00504C0E"/>
    <w:rsid w:val="005173B5"/>
    <w:rsid w:val="00544FA6"/>
    <w:rsid w:val="00560C0F"/>
    <w:rsid w:val="005D0949"/>
    <w:rsid w:val="00606C56"/>
    <w:rsid w:val="0064034C"/>
    <w:rsid w:val="006943A4"/>
    <w:rsid w:val="006E7D18"/>
    <w:rsid w:val="00712C0D"/>
    <w:rsid w:val="0076324E"/>
    <w:rsid w:val="00811F70"/>
    <w:rsid w:val="0083278D"/>
    <w:rsid w:val="00846A07"/>
    <w:rsid w:val="0086279D"/>
    <w:rsid w:val="00864E90"/>
    <w:rsid w:val="008C3ACA"/>
    <w:rsid w:val="008E1FAE"/>
    <w:rsid w:val="009059CC"/>
    <w:rsid w:val="009207B4"/>
    <w:rsid w:val="00960A41"/>
    <w:rsid w:val="00961ACF"/>
    <w:rsid w:val="009A0590"/>
    <w:rsid w:val="009B7B84"/>
    <w:rsid w:val="009D3CCB"/>
    <w:rsid w:val="009E4453"/>
    <w:rsid w:val="00A0673B"/>
    <w:rsid w:val="00A07FE2"/>
    <w:rsid w:val="00A23B10"/>
    <w:rsid w:val="00A315E0"/>
    <w:rsid w:val="00A33C79"/>
    <w:rsid w:val="00A81E6C"/>
    <w:rsid w:val="00AD723C"/>
    <w:rsid w:val="00AF6F39"/>
    <w:rsid w:val="00B3289C"/>
    <w:rsid w:val="00B40C2D"/>
    <w:rsid w:val="00B504BC"/>
    <w:rsid w:val="00B52C04"/>
    <w:rsid w:val="00B6026C"/>
    <w:rsid w:val="00B761B5"/>
    <w:rsid w:val="00BB7AA9"/>
    <w:rsid w:val="00BE289C"/>
    <w:rsid w:val="00BE296C"/>
    <w:rsid w:val="00C14C9C"/>
    <w:rsid w:val="00C2626B"/>
    <w:rsid w:val="00C312EC"/>
    <w:rsid w:val="00C359DA"/>
    <w:rsid w:val="00C922FB"/>
    <w:rsid w:val="00CA3343"/>
    <w:rsid w:val="00CF76E8"/>
    <w:rsid w:val="00D179D5"/>
    <w:rsid w:val="00D278FD"/>
    <w:rsid w:val="00D74523"/>
    <w:rsid w:val="00D74D84"/>
    <w:rsid w:val="00D95287"/>
    <w:rsid w:val="00DA75CB"/>
    <w:rsid w:val="00DD3CE5"/>
    <w:rsid w:val="00DF62ED"/>
    <w:rsid w:val="00E1109F"/>
    <w:rsid w:val="00E50D66"/>
    <w:rsid w:val="00E52171"/>
    <w:rsid w:val="00E52BC6"/>
    <w:rsid w:val="00ED67CE"/>
    <w:rsid w:val="00EF210B"/>
    <w:rsid w:val="00FC43A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59FF-94C9-4E52-9989-39391DF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Laptop</cp:lastModifiedBy>
  <cp:revision>2</cp:revision>
  <cp:lastPrinted>2013-09-03T02:57:00Z</cp:lastPrinted>
  <dcterms:created xsi:type="dcterms:W3CDTF">2015-08-31T03:17:00Z</dcterms:created>
  <dcterms:modified xsi:type="dcterms:W3CDTF">2015-08-31T03:17:00Z</dcterms:modified>
</cp:coreProperties>
</file>