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111"/>
        <w:gridCol w:w="799"/>
        <w:gridCol w:w="1165"/>
        <w:gridCol w:w="1344"/>
        <w:gridCol w:w="1823"/>
        <w:gridCol w:w="767"/>
        <w:gridCol w:w="2043"/>
        <w:gridCol w:w="1066"/>
        <w:gridCol w:w="2131"/>
        <w:gridCol w:w="1867"/>
        <w:gridCol w:w="1773"/>
        <w:gridCol w:w="1843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16333288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17CB37D" w:rsidR="001A4F68" w:rsidRPr="002F6921" w:rsidRDefault="002F6921" w:rsidP="00626380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1B2EA062" w14:textId="4593CD8E" w:rsidR="009D7745" w:rsidRPr="00780C80" w:rsidRDefault="00854B28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French vacations, use “que &amp; qui as well as “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” with the present tense, and form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with reflexive </w:t>
            </w:r>
            <w:proofErr w:type="spellStart"/>
            <w:r>
              <w:rPr>
                <w:sz w:val="18"/>
              </w:rPr>
              <w:t>verbes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208" w:type="dxa"/>
            <w:gridSpan w:val="2"/>
            <w:vAlign w:val="center"/>
          </w:tcPr>
          <w:p w14:paraId="66CB89AB" w14:textId="04B05A09" w:rsidR="009D7745" w:rsidRPr="00780C80" w:rsidRDefault="00854B28" w:rsidP="00626380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</w:t>
            </w:r>
            <w:r w:rsidR="00333547">
              <w:rPr>
                <w:sz w:val="18"/>
              </w:rPr>
              <w:t xml:space="preserve">verbs.  Explain use or relative pronouns, qui and que, and the use of </w:t>
            </w:r>
            <w:proofErr w:type="spellStart"/>
            <w:r w:rsidR="00333547">
              <w:rPr>
                <w:sz w:val="18"/>
              </w:rPr>
              <w:t>depuis</w:t>
            </w:r>
            <w:proofErr w:type="spellEnd"/>
            <w:r w:rsidR="00333547"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  <w:vAlign w:val="center"/>
          </w:tcPr>
          <w:p w14:paraId="296D5C8F" w14:textId="02F2FCBE" w:rsidR="009D7745" w:rsidRPr="00780C80" w:rsidRDefault="00626380" w:rsidP="003A331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3547">
              <w:rPr>
                <w:sz w:val="20"/>
                <w:szCs w:val="20"/>
              </w:rPr>
              <w:t>Students discuss visuals about French vacation, and students discuss video. Students question each other in paired groups.</w:t>
            </w:r>
          </w:p>
        </w:tc>
        <w:tc>
          <w:tcPr>
            <w:tcW w:w="3248" w:type="dxa"/>
            <w:gridSpan w:val="2"/>
          </w:tcPr>
          <w:p w14:paraId="6384A1F4" w14:textId="70A354AC" w:rsidR="00C300FA" w:rsidRPr="00780C80" w:rsidRDefault="00666DBA">
            <w:pPr>
              <w:rPr>
                <w:sz w:val="18"/>
              </w:rPr>
            </w:pPr>
            <w:r>
              <w:rPr>
                <w:sz w:val="18"/>
              </w:rPr>
              <w:t>Dialogue assessment</w:t>
            </w:r>
          </w:p>
        </w:tc>
        <w:tc>
          <w:tcPr>
            <w:tcW w:w="1891" w:type="dxa"/>
          </w:tcPr>
          <w:p w14:paraId="2C52AE46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BEE3C0E" w14:textId="7AF46C99" w:rsidR="009D7745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4D829D95" w14:textId="45C88F5D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41642BCF" w14:textId="69B6F9B5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ESOL students</w:t>
            </w:r>
            <w:r w:rsidR="00666DBA">
              <w:rPr>
                <w:sz w:val="18"/>
              </w:rPr>
              <w:t xml:space="preserve"> will be allowed extra time on tests and access to Spanish / French dictionaries.  They </w:t>
            </w:r>
            <w:proofErr w:type="gramStart"/>
            <w:r w:rsidR="00666DBA">
              <w:rPr>
                <w:sz w:val="18"/>
              </w:rPr>
              <w:t>can be paired</w:t>
            </w:r>
            <w:proofErr w:type="gramEnd"/>
            <w:r w:rsidR="00666DBA">
              <w:rPr>
                <w:sz w:val="18"/>
              </w:rPr>
              <w:t xml:space="preserve"> with a helpful student.</w:t>
            </w: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59281C2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62FED025" w14:textId="69DB0587" w:rsidR="003A3319" w:rsidRDefault="0080214B" w:rsidP="003A3319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French vacations, use “que &amp; qui as well as “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” with the present tense, and form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with reflexive </w:t>
            </w:r>
            <w:proofErr w:type="spellStart"/>
            <w:r>
              <w:rPr>
                <w:sz w:val="18"/>
              </w:rPr>
              <w:t>verbes</w:t>
            </w:r>
            <w:proofErr w:type="spellEnd"/>
            <w:r>
              <w:rPr>
                <w:sz w:val="18"/>
              </w:rPr>
              <w:t>.</w:t>
            </w:r>
          </w:p>
          <w:p w14:paraId="68BC02A9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0FBF0C2B" w14:textId="7449F71C" w:rsidR="00065ED6" w:rsidRPr="00780C80" w:rsidRDefault="0080214B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use or relative pronouns, qui and que, and the use of 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</w:tcPr>
          <w:p w14:paraId="2F427EB3" w14:textId="07DC2D6B" w:rsidR="009D7745" w:rsidRPr="00780C80" w:rsidRDefault="00666DBA" w:rsidP="00566A11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vacation, and students discuss video. Students question each other in paired groups.</w:t>
            </w:r>
          </w:p>
        </w:tc>
        <w:tc>
          <w:tcPr>
            <w:tcW w:w="3248" w:type="dxa"/>
            <w:gridSpan w:val="2"/>
          </w:tcPr>
          <w:p w14:paraId="597DF0E0" w14:textId="3FE17A49" w:rsidR="007A4178" w:rsidRPr="00E47918" w:rsidRDefault="006E6EB1" w:rsidP="007A4178">
            <w:pPr>
              <w:rPr>
                <w:sz w:val="20"/>
                <w:szCs w:val="20"/>
              </w:rPr>
            </w:pPr>
            <w:r>
              <w:rPr>
                <w:sz w:val="18"/>
              </w:rPr>
              <w:t>Chapter test</w:t>
            </w:r>
          </w:p>
          <w:p w14:paraId="250371E5" w14:textId="74B4525B" w:rsidR="009D7745" w:rsidRPr="00780C80" w:rsidRDefault="00C300FA" w:rsidP="00833DE9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117D8A6E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96D29FD" w14:textId="18345FFA" w:rsidR="00A52924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3BF0750D" w14:textId="1E9DF4CD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88101C1" w14:textId="13712248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 xml:space="preserve">ESOL students will be allowed extra time on tests and access to Spanish / French dictionaries.  They </w:t>
            </w:r>
            <w:proofErr w:type="gramStart"/>
            <w:r>
              <w:rPr>
                <w:sz w:val="18"/>
              </w:rPr>
              <w:t>can be paired</w:t>
            </w:r>
            <w:proofErr w:type="gramEnd"/>
            <w:r>
              <w:rPr>
                <w:sz w:val="18"/>
              </w:rPr>
              <w:t xml:space="preserve"> with a helpful student.</w:t>
            </w: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2CC7AB9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7FF17824" w14:textId="4F672D7B" w:rsidR="009D7745" w:rsidRPr="006E6EB1" w:rsidRDefault="0080214B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</w:t>
            </w:r>
            <w:r w:rsidR="006E6EB1">
              <w:rPr>
                <w:sz w:val="18"/>
              </w:rPr>
              <w:t xml:space="preserve">ss Jeanne </w:t>
            </w:r>
            <w:proofErr w:type="spellStart"/>
            <w:r w:rsidR="006E6EB1">
              <w:rPr>
                <w:sz w:val="18"/>
              </w:rPr>
              <w:t>d’Arc</w:t>
            </w:r>
            <w:proofErr w:type="spellEnd"/>
            <w:r w:rsidR="006E6EB1">
              <w:rPr>
                <w:sz w:val="18"/>
              </w:rPr>
              <w:t xml:space="preserve"> and use the passé </w:t>
            </w:r>
            <w:proofErr w:type="spellStart"/>
            <w:r w:rsidR="006E6EB1">
              <w:rPr>
                <w:sz w:val="18"/>
              </w:rPr>
              <w:t>compos</w:t>
            </w:r>
            <w:r w:rsidR="006E6EB1">
              <w:rPr>
                <w:sz w:val="20"/>
                <w:szCs w:val="20"/>
              </w:rPr>
              <w:t>é</w:t>
            </w:r>
            <w:proofErr w:type="spellEnd"/>
            <w:r w:rsidR="006E6EB1">
              <w:rPr>
                <w:sz w:val="20"/>
                <w:szCs w:val="20"/>
              </w:rPr>
              <w:t xml:space="preserve"> and the imperfect tense.</w:t>
            </w:r>
          </w:p>
        </w:tc>
        <w:tc>
          <w:tcPr>
            <w:tcW w:w="3208" w:type="dxa"/>
            <w:gridSpan w:val="2"/>
          </w:tcPr>
          <w:p w14:paraId="6D9AEEBE" w14:textId="4780E33E" w:rsidR="00065ED6" w:rsidRPr="007C032E" w:rsidRDefault="0080214B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 xml:space="preserve">Model use of vocabulary and verbs.  Explain use or relative pronouns, qui and que, and the use of 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</w:tcPr>
          <w:p w14:paraId="6BC5DDFD" w14:textId="6271D448" w:rsidR="006E6EB1" w:rsidRPr="006E6EB1" w:rsidRDefault="006E6EB1" w:rsidP="00DE1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read and discuss Jeanne </w:t>
            </w:r>
            <w:proofErr w:type="spellStart"/>
            <w:r>
              <w:rPr>
                <w:sz w:val="20"/>
                <w:szCs w:val="20"/>
              </w:rPr>
              <w:t>d’Arc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E732A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stories o</w:t>
            </w:r>
            <w:r w:rsidR="006E732A">
              <w:rPr>
                <w:sz w:val="20"/>
                <w:szCs w:val="20"/>
              </w:rPr>
              <w:t>f my childhood. Students question each other in paired groups.</w:t>
            </w:r>
          </w:p>
        </w:tc>
        <w:tc>
          <w:tcPr>
            <w:tcW w:w="3248" w:type="dxa"/>
            <w:gridSpan w:val="2"/>
          </w:tcPr>
          <w:p w14:paraId="20E23390" w14:textId="5CC2A6B3" w:rsidR="00666DBA" w:rsidRPr="006E732A" w:rsidRDefault="006E732A" w:rsidP="00DE1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Imperfect and passé </w:t>
            </w:r>
            <w:proofErr w:type="spellStart"/>
            <w:r>
              <w:rPr>
                <w:b/>
                <w:sz w:val="20"/>
                <w:szCs w:val="20"/>
              </w:rPr>
              <w:t>composé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execice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67FF9421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7E2ED6FD" w14:textId="52E29D77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65FA990D" w14:textId="62E9672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6F3E4A44" w14:textId="15EBEFF2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23A2456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049E4355" w14:textId="7B43D4E4" w:rsidR="001A4F68" w:rsidRDefault="006E6EB1" w:rsidP="001A4F68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Jeanne </w:t>
            </w:r>
            <w:proofErr w:type="spellStart"/>
            <w:r>
              <w:rPr>
                <w:sz w:val="18"/>
              </w:rPr>
              <w:t>d’Arc</w:t>
            </w:r>
            <w:proofErr w:type="spellEnd"/>
            <w:r>
              <w:rPr>
                <w:sz w:val="18"/>
              </w:rPr>
              <w:t xml:space="preserve"> and use the passé </w:t>
            </w:r>
            <w:proofErr w:type="spellStart"/>
            <w:r>
              <w:rPr>
                <w:sz w:val="18"/>
              </w:rPr>
              <w:t>compos</w:t>
            </w:r>
            <w:r>
              <w:rPr>
                <w:sz w:val="20"/>
                <w:szCs w:val="20"/>
              </w:rPr>
              <w:t>é</w:t>
            </w:r>
            <w:proofErr w:type="spellEnd"/>
            <w:r>
              <w:rPr>
                <w:sz w:val="20"/>
                <w:szCs w:val="20"/>
              </w:rPr>
              <w:t xml:space="preserve"> and the imperfect tense.</w:t>
            </w:r>
          </w:p>
          <w:p w14:paraId="50C210D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400DDB88" w14:textId="622D88A4" w:rsidR="0049539D" w:rsidRPr="00780C80" w:rsidRDefault="0080214B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use or relative pronouns, qui and que, and the use of 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</w:tcPr>
          <w:p w14:paraId="6EABC3CD" w14:textId="0F83BC84" w:rsidR="009D7745" w:rsidRPr="00780C80" w:rsidRDefault="006E732A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read and discuss Jeanne </w:t>
            </w:r>
            <w:proofErr w:type="spellStart"/>
            <w:r>
              <w:rPr>
                <w:sz w:val="20"/>
                <w:szCs w:val="20"/>
              </w:rPr>
              <w:t>d’Arc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andr</w:t>
            </w:r>
            <w:proofErr w:type="spellEnd"/>
            <w:r>
              <w:rPr>
                <w:sz w:val="20"/>
                <w:szCs w:val="20"/>
              </w:rPr>
              <w:t xml:space="preserve"> stories of my childhood. Students question each other in paired groups.</w:t>
            </w:r>
          </w:p>
        </w:tc>
        <w:tc>
          <w:tcPr>
            <w:tcW w:w="3248" w:type="dxa"/>
            <w:gridSpan w:val="2"/>
          </w:tcPr>
          <w:p w14:paraId="4E836FAE" w14:textId="494541D6" w:rsidR="009D7745" w:rsidRPr="00780C80" w:rsidRDefault="006E732A" w:rsidP="00DE1680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Imperfect and passé </w:t>
            </w:r>
            <w:proofErr w:type="spellStart"/>
            <w:r>
              <w:rPr>
                <w:b/>
                <w:sz w:val="20"/>
                <w:szCs w:val="20"/>
              </w:rPr>
              <w:t>composé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execice</w:t>
            </w:r>
            <w:proofErr w:type="spellEnd"/>
          </w:p>
        </w:tc>
        <w:tc>
          <w:tcPr>
            <w:tcW w:w="1891" w:type="dxa"/>
          </w:tcPr>
          <w:p w14:paraId="0722466E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580AC09C" w14:textId="48F4AFA5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F8C0A66" w14:textId="2F270269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EB20C9A" w14:textId="678A76FC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13398C5F" w14:textId="0F98E8C8" w:rsidTr="00566A11">
        <w:trPr>
          <w:cantSplit/>
          <w:trHeight w:val="2312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2E4B6B66" w14:textId="57F4124D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1E63FB61" w14:textId="744B347F" w:rsidR="009D7745" w:rsidRPr="00780C80" w:rsidRDefault="006E6EB1" w:rsidP="006E6EB1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Jeanne </w:t>
            </w:r>
            <w:proofErr w:type="spellStart"/>
            <w:r>
              <w:rPr>
                <w:sz w:val="18"/>
              </w:rPr>
              <w:t>d’Arc</w:t>
            </w:r>
            <w:proofErr w:type="spellEnd"/>
            <w:r>
              <w:rPr>
                <w:sz w:val="18"/>
              </w:rPr>
              <w:t xml:space="preserve"> and use the passé </w:t>
            </w:r>
            <w:proofErr w:type="spellStart"/>
            <w:r>
              <w:rPr>
                <w:sz w:val="18"/>
              </w:rPr>
              <w:t>compos</w:t>
            </w:r>
            <w:r>
              <w:rPr>
                <w:sz w:val="20"/>
                <w:szCs w:val="20"/>
              </w:rPr>
              <w:t>é</w:t>
            </w:r>
            <w:proofErr w:type="spellEnd"/>
            <w:r>
              <w:rPr>
                <w:sz w:val="20"/>
                <w:szCs w:val="20"/>
              </w:rPr>
              <w:t xml:space="preserve"> and the imperfect tense.</w:t>
            </w:r>
          </w:p>
        </w:tc>
        <w:tc>
          <w:tcPr>
            <w:tcW w:w="3208" w:type="dxa"/>
            <w:gridSpan w:val="2"/>
          </w:tcPr>
          <w:p w14:paraId="7CAF6B1C" w14:textId="317B5680" w:rsidR="0049539D" w:rsidRPr="00780C80" w:rsidRDefault="0080214B" w:rsidP="00566A11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use or relative pronouns, qui and que, and the use of 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</w:tcPr>
          <w:p w14:paraId="70AD1E2F" w14:textId="7D580DC4" w:rsidR="009D7745" w:rsidRPr="00780C80" w:rsidRDefault="006E732A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read and discuss Jeanne </w:t>
            </w:r>
            <w:proofErr w:type="spellStart"/>
            <w:r>
              <w:rPr>
                <w:sz w:val="20"/>
                <w:szCs w:val="20"/>
              </w:rPr>
              <w:t>d’Arc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andr</w:t>
            </w:r>
            <w:proofErr w:type="spellEnd"/>
            <w:r>
              <w:rPr>
                <w:sz w:val="20"/>
                <w:szCs w:val="20"/>
              </w:rPr>
              <w:t xml:space="preserve"> stories of my childhood. Students question each other in paired groups.</w:t>
            </w:r>
          </w:p>
        </w:tc>
        <w:tc>
          <w:tcPr>
            <w:tcW w:w="3248" w:type="dxa"/>
            <w:gridSpan w:val="2"/>
          </w:tcPr>
          <w:p w14:paraId="7D414C1B" w14:textId="6702429E" w:rsidR="007A4178" w:rsidRPr="00E47918" w:rsidRDefault="007A4178" w:rsidP="007A4178">
            <w:pPr>
              <w:rPr>
                <w:sz w:val="20"/>
                <w:szCs w:val="20"/>
              </w:rPr>
            </w:pPr>
          </w:p>
          <w:p w14:paraId="3C6BEB95" w14:textId="6D450F2C" w:rsidR="007A4178" w:rsidRPr="00780C80" w:rsidRDefault="006E732A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Imperfect and passé </w:t>
            </w:r>
            <w:proofErr w:type="spellStart"/>
            <w:r>
              <w:rPr>
                <w:b/>
                <w:sz w:val="20"/>
                <w:szCs w:val="20"/>
              </w:rPr>
              <w:t>composé</w:t>
            </w:r>
            <w:proofErr w:type="spellEnd"/>
            <w:r>
              <w:rPr>
                <w:b/>
                <w:sz w:val="20"/>
                <w:szCs w:val="20"/>
              </w:rPr>
              <w:t xml:space="preserve"> execice</w:t>
            </w:r>
            <w:bookmarkStart w:id="0" w:name="_GoBack"/>
            <w:bookmarkEnd w:id="0"/>
          </w:p>
        </w:tc>
        <w:tc>
          <w:tcPr>
            <w:tcW w:w="1891" w:type="dxa"/>
          </w:tcPr>
          <w:p w14:paraId="09865D3F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1A78E2E0" w14:textId="02B3F010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AA47C86" w14:textId="06943550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3BD53AEE" w14:textId="77777777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  <w:p w14:paraId="7826F494" w14:textId="0B223EF0" w:rsidR="00A52924" w:rsidRDefault="00A52924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3325C"/>
    <w:rsid w:val="001549C8"/>
    <w:rsid w:val="001777D9"/>
    <w:rsid w:val="001A4F68"/>
    <w:rsid w:val="001B06D3"/>
    <w:rsid w:val="002A339A"/>
    <w:rsid w:val="002C0BAB"/>
    <w:rsid w:val="002F06F0"/>
    <w:rsid w:val="002F6921"/>
    <w:rsid w:val="00327E9D"/>
    <w:rsid w:val="00333547"/>
    <w:rsid w:val="003A3319"/>
    <w:rsid w:val="003F2945"/>
    <w:rsid w:val="0049539D"/>
    <w:rsid w:val="004B7AC6"/>
    <w:rsid w:val="005173B5"/>
    <w:rsid w:val="00544FA6"/>
    <w:rsid w:val="00560C0F"/>
    <w:rsid w:val="00566A11"/>
    <w:rsid w:val="00626380"/>
    <w:rsid w:val="00666DBA"/>
    <w:rsid w:val="006E6EB1"/>
    <w:rsid w:val="006E732A"/>
    <w:rsid w:val="006E7D18"/>
    <w:rsid w:val="00712C0D"/>
    <w:rsid w:val="00780C80"/>
    <w:rsid w:val="007A4178"/>
    <w:rsid w:val="007C032E"/>
    <w:rsid w:val="0080214B"/>
    <w:rsid w:val="00811F70"/>
    <w:rsid w:val="00833DE9"/>
    <w:rsid w:val="00854B28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52924"/>
    <w:rsid w:val="00AD723C"/>
    <w:rsid w:val="00AF6F39"/>
    <w:rsid w:val="00B66DC2"/>
    <w:rsid w:val="00C300FA"/>
    <w:rsid w:val="00C312EC"/>
    <w:rsid w:val="00D179D5"/>
    <w:rsid w:val="00D74523"/>
    <w:rsid w:val="00DE1680"/>
    <w:rsid w:val="00DF62ED"/>
    <w:rsid w:val="00E52171"/>
    <w:rsid w:val="00EF79AA"/>
    <w:rsid w:val="00F21FD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2017-09-28T22:10:00Z</dcterms:created>
  <dcterms:modified xsi:type="dcterms:W3CDTF">2017-09-28T22:10:00Z</dcterms:modified>
</cp:coreProperties>
</file>