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B2EA062" w14:textId="2CBADBD1" w:rsidR="009D7745" w:rsidRPr="00780C80" w:rsidRDefault="00B7562B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Jeanne </w:t>
            </w:r>
            <w:proofErr w:type="spellStart"/>
            <w:r>
              <w:rPr>
                <w:sz w:val="18"/>
              </w:rPr>
              <w:t>d’Arc</w:t>
            </w:r>
            <w:proofErr w:type="spellEnd"/>
            <w:r>
              <w:rPr>
                <w:sz w:val="18"/>
              </w:rPr>
              <w:t xml:space="preserve"> and use the passé </w:t>
            </w:r>
            <w:proofErr w:type="spellStart"/>
            <w:r>
              <w:rPr>
                <w:sz w:val="18"/>
              </w:rPr>
              <w:t>compos</w:t>
            </w:r>
            <w:r>
              <w:rPr>
                <w:sz w:val="20"/>
                <w:szCs w:val="20"/>
              </w:rPr>
              <w:t>é</w:t>
            </w:r>
            <w:proofErr w:type="spellEnd"/>
            <w:r>
              <w:rPr>
                <w:sz w:val="20"/>
                <w:szCs w:val="20"/>
              </w:rPr>
              <w:t xml:space="preserve"> and the imperfect tense.</w:t>
            </w:r>
          </w:p>
        </w:tc>
        <w:tc>
          <w:tcPr>
            <w:tcW w:w="3208" w:type="dxa"/>
            <w:gridSpan w:val="2"/>
            <w:vAlign w:val="center"/>
          </w:tcPr>
          <w:p w14:paraId="66CB89AB" w14:textId="01F1A291" w:rsidR="009D7745" w:rsidRPr="00780C80" w:rsidRDefault="00854B28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</w:t>
            </w:r>
            <w:r w:rsidR="00333547">
              <w:rPr>
                <w:sz w:val="18"/>
              </w:rPr>
              <w:t xml:space="preserve">verbs.  Explain use or relative pronouns, qui and que, and the use of </w:t>
            </w:r>
            <w:proofErr w:type="spellStart"/>
            <w:r w:rsidR="00333547">
              <w:rPr>
                <w:sz w:val="18"/>
              </w:rPr>
              <w:t>depuis</w:t>
            </w:r>
            <w:proofErr w:type="spellEnd"/>
            <w:r w:rsidR="00333547">
              <w:rPr>
                <w:sz w:val="18"/>
              </w:rPr>
              <w:t xml:space="preserve"> with the present tense. Read lesson text and elicit vocabulary with questions.  </w:t>
            </w:r>
            <w:r w:rsidR="00B7562B">
              <w:rPr>
                <w:sz w:val="18"/>
              </w:rPr>
              <w:t>Students taste French food prepared by teacher.</w:t>
            </w:r>
          </w:p>
        </w:tc>
        <w:tc>
          <w:tcPr>
            <w:tcW w:w="2806" w:type="dxa"/>
            <w:gridSpan w:val="2"/>
            <w:vAlign w:val="center"/>
          </w:tcPr>
          <w:p w14:paraId="296D5C8F" w14:textId="3EA0396F" w:rsidR="009D7745" w:rsidRPr="00780C80" w:rsidRDefault="00B7562B" w:rsidP="00B7562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Students read and discuss Jeanne </w:t>
            </w:r>
            <w:proofErr w:type="spellStart"/>
            <w:r>
              <w:rPr>
                <w:sz w:val="20"/>
                <w:szCs w:val="20"/>
              </w:rPr>
              <w:t>d’Arc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andr</w:t>
            </w:r>
            <w:proofErr w:type="spellEnd"/>
            <w:r>
              <w:rPr>
                <w:sz w:val="20"/>
                <w:szCs w:val="20"/>
              </w:rPr>
              <w:t xml:space="preserve"> stories of my childhood. Students question each other in paired groups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3354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248" w:type="dxa"/>
            <w:gridSpan w:val="2"/>
          </w:tcPr>
          <w:p w14:paraId="6384A1F4" w14:textId="42BF7D6B" w:rsidR="00C300FA" w:rsidRPr="00780C80" w:rsidRDefault="00B7562B">
            <w:pPr>
              <w:rPr>
                <w:sz w:val="18"/>
              </w:rPr>
            </w:pPr>
            <w:r>
              <w:rPr>
                <w:sz w:val="18"/>
              </w:rPr>
              <w:t>Oral response assessment.</w:t>
            </w:r>
          </w:p>
        </w:tc>
        <w:tc>
          <w:tcPr>
            <w:tcW w:w="1891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59281C2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62FED025" w14:textId="3763343B" w:rsidR="003A3319" w:rsidRDefault="00B7562B" w:rsidP="003A3319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Jeanne </w:t>
            </w:r>
            <w:proofErr w:type="spellStart"/>
            <w:r>
              <w:rPr>
                <w:sz w:val="18"/>
              </w:rPr>
              <w:t>d’Arc</w:t>
            </w:r>
            <w:proofErr w:type="spellEnd"/>
            <w:r>
              <w:rPr>
                <w:sz w:val="18"/>
              </w:rPr>
              <w:t xml:space="preserve"> and use the passé </w:t>
            </w:r>
            <w:proofErr w:type="spellStart"/>
            <w:r>
              <w:rPr>
                <w:sz w:val="18"/>
              </w:rPr>
              <w:t>compos</w:t>
            </w:r>
            <w:r>
              <w:rPr>
                <w:sz w:val="20"/>
                <w:szCs w:val="20"/>
              </w:rPr>
              <w:t>é</w:t>
            </w:r>
            <w:proofErr w:type="spellEnd"/>
            <w:r>
              <w:rPr>
                <w:sz w:val="20"/>
                <w:szCs w:val="20"/>
              </w:rPr>
              <w:t xml:space="preserve"> and the imperfect tense.</w:t>
            </w:r>
          </w:p>
          <w:p w14:paraId="68BC02A9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FBF0C2B" w14:textId="7449F71C" w:rsidR="00065ED6" w:rsidRPr="00780C80" w:rsidRDefault="0080214B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2F427EB3" w14:textId="340830FE" w:rsidR="009D7745" w:rsidRPr="00780C80" w:rsidRDefault="00B7562B" w:rsidP="00566A11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read and discuss Jeanne </w:t>
            </w:r>
            <w:proofErr w:type="spellStart"/>
            <w:r>
              <w:rPr>
                <w:sz w:val="20"/>
                <w:szCs w:val="20"/>
              </w:rPr>
              <w:t>d’Arc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andr</w:t>
            </w:r>
            <w:proofErr w:type="spellEnd"/>
            <w:r>
              <w:rPr>
                <w:sz w:val="20"/>
                <w:szCs w:val="20"/>
              </w:rPr>
              <w:t xml:space="preserve"> stories of my childhood. Students question each other in paired groups.</w:t>
            </w:r>
          </w:p>
        </w:tc>
        <w:tc>
          <w:tcPr>
            <w:tcW w:w="3248" w:type="dxa"/>
            <w:gridSpan w:val="2"/>
          </w:tcPr>
          <w:p w14:paraId="250371E5" w14:textId="2DDCE77B" w:rsidR="009D7745" w:rsidRPr="00780C80" w:rsidRDefault="00B7562B" w:rsidP="00B756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Exercice</w:t>
            </w:r>
            <w:proofErr w:type="spellEnd"/>
            <w:r>
              <w:rPr>
                <w:sz w:val="18"/>
              </w:rPr>
              <w:t xml:space="preserve"> 1</w:t>
            </w:r>
            <w:bookmarkStart w:id="0" w:name="_GoBack"/>
            <w:bookmarkEnd w:id="0"/>
            <w:r w:rsidR="00C300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117D8A6E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A52924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3BF0750D" w14:textId="1E9DF4CD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8101C1" w14:textId="13712248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2CC7AB9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7FF17824" w14:textId="4F672D7B" w:rsidR="009D7745" w:rsidRPr="006E6EB1" w:rsidRDefault="0080214B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</w:t>
            </w:r>
            <w:r w:rsidR="006E6EB1">
              <w:rPr>
                <w:sz w:val="18"/>
              </w:rPr>
              <w:t xml:space="preserve">ss Jeanne </w:t>
            </w:r>
            <w:proofErr w:type="spellStart"/>
            <w:r w:rsidR="006E6EB1">
              <w:rPr>
                <w:sz w:val="18"/>
              </w:rPr>
              <w:t>d’Arc</w:t>
            </w:r>
            <w:proofErr w:type="spellEnd"/>
            <w:r w:rsidR="006E6EB1">
              <w:rPr>
                <w:sz w:val="18"/>
              </w:rPr>
              <w:t xml:space="preserve"> and use the passé </w:t>
            </w:r>
            <w:proofErr w:type="spellStart"/>
            <w:r w:rsidR="006E6EB1">
              <w:rPr>
                <w:sz w:val="18"/>
              </w:rPr>
              <w:t>compos</w:t>
            </w:r>
            <w:r w:rsidR="006E6EB1">
              <w:rPr>
                <w:sz w:val="20"/>
                <w:szCs w:val="20"/>
              </w:rPr>
              <w:t>é</w:t>
            </w:r>
            <w:proofErr w:type="spellEnd"/>
            <w:r w:rsidR="006E6EB1">
              <w:rPr>
                <w:sz w:val="20"/>
                <w:szCs w:val="20"/>
              </w:rPr>
              <w:t xml:space="preserve"> and the imperfect tense.</w:t>
            </w:r>
          </w:p>
        </w:tc>
        <w:tc>
          <w:tcPr>
            <w:tcW w:w="3208" w:type="dxa"/>
            <w:gridSpan w:val="2"/>
          </w:tcPr>
          <w:p w14:paraId="6D9AEEBE" w14:textId="4780E33E" w:rsidR="00065ED6" w:rsidRPr="007C032E" w:rsidRDefault="0080214B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6BC5DDFD" w14:textId="6271D448" w:rsidR="006E6EB1" w:rsidRPr="006E6EB1" w:rsidRDefault="006E6EB1" w:rsidP="00DE1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read and discuss Jeanne </w:t>
            </w:r>
            <w:proofErr w:type="spellStart"/>
            <w:r>
              <w:rPr>
                <w:sz w:val="20"/>
                <w:szCs w:val="20"/>
              </w:rPr>
              <w:t>d’Arc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E732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stories o</w:t>
            </w:r>
            <w:r w:rsidR="006E732A">
              <w:rPr>
                <w:sz w:val="20"/>
                <w:szCs w:val="20"/>
              </w:rPr>
              <w:t>f my childhood. Students question each other in paired groups.</w:t>
            </w:r>
          </w:p>
        </w:tc>
        <w:tc>
          <w:tcPr>
            <w:tcW w:w="3248" w:type="dxa"/>
            <w:gridSpan w:val="2"/>
          </w:tcPr>
          <w:p w14:paraId="20E23390" w14:textId="5CC2A6B3" w:rsidR="00666DBA" w:rsidRPr="006E732A" w:rsidRDefault="006E732A" w:rsidP="00DE1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Imperfect and passé </w:t>
            </w:r>
            <w:proofErr w:type="spellStart"/>
            <w:r>
              <w:rPr>
                <w:b/>
                <w:sz w:val="20"/>
                <w:szCs w:val="20"/>
              </w:rPr>
              <w:t>composé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execice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67FF9421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15EBEFF2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23A2456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049E4355" w14:textId="7B43D4E4" w:rsidR="001A4F68" w:rsidRDefault="006E6EB1" w:rsidP="001A4F68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Jeanne </w:t>
            </w:r>
            <w:proofErr w:type="spellStart"/>
            <w:r>
              <w:rPr>
                <w:sz w:val="18"/>
              </w:rPr>
              <w:t>d’Arc</w:t>
            </w:r>
            <w:proofErr w:type="spellEnd"/>
            <w:r>
              <w:rPr>
                <w:sz w:val="18"/>
              </w:rPr>
              <w:t xml:space="preserve"> and use the passé </w:t>
            </w:r>
            <w:proofErr w:type="spellStart"/>
            <w:r>
              <w:rPr>
                <w:sz w:val="18"/>
              </w:rPr>
              <w:t>compos</w:t>
            </w:r>
            <w:r>
              <w:rPr>
                <w:sz w:val="20"/>
                <w:szCs w:val="20"/>
              </w:rPr>
              <w:t>é</w:t>
            </w:r>
            <w:proofErr w:type="spellEnd"/>
            <w:r>
              <w:rPr>
                <w:sz w:val="20"/>
                <w:szCs w:val="20"/>
              </w:rPr>
              <w:t xml:space="preserve"> and the imperfect tense.</w:t>
            </w: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400DDB88" w14:textId="622D88A4" w:rsidR="0049539D" w:rsidRPr="00780C80" w:rsidRDefault="0080214B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6EABC3CD" w14:textId="0F83BC84" w:rsidR="009D7745" w:rsidRPr="00780C80" w:rsidRDefault="006E732A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read and discuss Jeanne </w:t>
            </w:r>
            <w:proofErr w:type="spellStart"/>
            <w:r>
              <w:rPr>
                <w:sz w:val="20"/>
                <w:szCs w:val="20"/>
              </w:rPr>
              <w:t>d’Arc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andr</w:t>
            </w:r>
            <w:proofErr w:type="spellEnd"/>
            <w:r>
              <w:rPr>
                <w:sz w:val="20"/>
                <w:szCs w:val="20"/>
              </w:rPr>
              <w:t xml:space="preserve"> stories of my childhood. Students question each other in paired groups.</w:t>
            </w:r>
          </w:p>
        </w:tc>
        <w:tc>
          <w:tcPr>
            <w:tcW w:w="3248" w:type="dxa"/>
            <w:gridSpan w:val="2"/>
          </w:tcPr>
          <w:p w14:paraId="4E836FAE" w14:textId="494541D6" w:rsidR="009D7745" w:rsidRPr="00780C80" w:rsidRDefault="006E732A" w:rsidP="00DE1680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Imperfect and passé </w:t>
            </w:r>
            <w:proofErr w:type="spellStart"/>
            <w:r>
              <w:rPr>
                <w:b/>
                <w:sz w:val="20"/>
                <w:szCs w:val="20"/>
              </w:rPr>
              <w:t>composé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execice</w:t>
            </w:r>
            <w:proofErr w:type="spellEnd"/>
          </w:p>
        </w:tc>
        <w:tc>
          <w:tcPr>
            <w:tcW w:w="1891" w:type="dxa"/>
          </w:tcPr>
          <w:p w14:paraId="0722466E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78A76FC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13398C5F" w14:textId="0F98E8C8" w:rsidTr="00566A11">
        <w:trPr>
          <w:cantSplit/>
          <w:trHeight w:val="2312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57F4124D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E63FB61" w14:textId="744B347F" w:rsidR="009D7745" w:rsidRPr="00780C80" w:rsidRDefault="006E6EB1" w:rsidP="006E6EB1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Jeanne </w:t>
            </w:r>
            <w:proofErr w:type="spellStart"/>
            <w:r>
              <w:rPr>
                <w:sz w:val="18"/>
              </w:rPr>
              <w:t>d’Arc</w:t>
            </w:r>
            <w:proofErr w:type="spellEnd"/>
            <w:r>
              <w:rPr>
                <w:sz w:val="18"/>
              </w:rPr>
              <w:t xml:space="preserve"> and use the passé </w:t>
            </w:r>
            <w:proofErr w:type="spellStart"/>
            <w:r>
              <w:rPr>
                <w:sz w:val="18"/>
              </w:rPr>
              <w:t>compos</w:t>
            </w:r>
            <w:r>
              <w:rPr>
                <w:sz w:val="20"/>
                <w:szCs w:val="20"/>
              </w:rPr>
              <w:t>é</w:t>
            </w:r>
            <w:proofErr w:type="spellEnd"/>
            <w:r>
              <w:rPr>
                <w:sz w:val="20"/>
                <w:szCs w:val="20"/>
              </w:rPr>
              <w:t xml:space="preserve"> and the imperfect tense.</w:t>
            </w:r>
          </w:p>
        </w:tc>
        <w:tc>
          <w:tcPr>
            <w:tcW w:w="3208" w:type="dxa"/>
            <w:gridSpan w:val="2"/>
          </w:tcPr>
          <w:p w14:paraId="7CAF6B1C" w14:textId="317B5680" w:rsidR="0049539D" w:rsidRPr="00780C80" w:rsidRDefault="0080214B" w:rsidP="00566A11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70AD1E2F" w14:textId="7D580DC4" w:rsidR="009D7745" w:rsidRPr="00780C80" w:rsidRDefault="006E732A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read and discuss Jeanne </w:t>
            </w:r>
            <w:proofErr w:type="spellStart"/>
            <w:r>
              <w:rPr>
                <w:sz w:val="20"/>
                <w:szCs w:val="20"/>
              </w:rPr>
              <w:t>d’Arc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andr</w:t>
            </w:r>
            <w:proofErr w:type="spellEnd"/>
            <w:r>
              <w:rPr>
                <w:sz w:val="20"/>
                <w:szCs w:val="20"/>
              </w:rPr>
              <w:t xml:space="preserve"> stories of my childhood. Students question each other in paired groups.</w:t>
            </w:r>
          </w:p>
        </w:tc>
        <w:tc>
          <w:tcPr>
            <w:tcW w:w="3248" w:type="dxa"/>
            <w:gridSpan w:val="2"/>
          </w:tcPr>
          <w:p w14:paraId="7D414C1B" w14:textId="6702429E" w:rsidR="007A4178" w:rsidRPr="00E47918" w:rsidRDefault="007A4178" w:rsidP="007A4178">
            <w:pPr>
              <w:rPr>
                <w:sz w:val="20"/>
                <w:szCs w:val="20"/>
              </w:rPr>
            </w:pPr>
          </w:p>
          <w:p w14:paraId="3C6BEB95" w14:textId="6D450F2C" w:rsidR="007A4178" w:rsidRPr="00780C80" w:rsidRDefault="006E732A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Imperfect and passé </w:t>
            </w:r>
            <w:proofErr w:type="spellStart"/>
            <w:r>
              <w:rPr>
                <w:b/>
                <w:sz w:val="20"/>
                <w:szCs w:val="20"/>
              </w:rPr>
              <w:t>composé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execice</w:t>
            </w:r>
            <w:proofErr w:type="spellEnd"/>
          </w:p>
        </w:tc>
        <w:tc>
          <w:tcPr>
            <w:tcW w:w="1891" w:type="dxa"/>
          </w:tcPr>
          <w:p w14:paraId="09865D3F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3BD53AEE" w14:textId="77777777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A52924" w:rsidRDefault="00A52924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7AC6"/>
    <w:rsid w:val="005173B5"/>
    <w:rsid w:val="00544FA6"/>
    <w:rsid w:val="00560C0F"/>
    <w:rsid w:val="00566A11"/>
    <w:rsid w:val="00626380"/>
    <w:rsid w:val="00666DBA"/>
    <w:rsid w:val="006E6EB1"/>
    <w:rsid w:val="006E732A"/>
    <w:rsid w:val="006E7D18"/>
    <w:rsid w:val="00712C0D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B7562B"/>
    <w:rsid w:val="00C300FA"/>
    <w:rsid w:val="00C312EC"/>
    <w:rsid w:val="00D179D5"/>
    <w:rsid w:val="00D74523"/>
    <w:rsid w:val="00DE1680"/>
    <w:rsid w:val="00DF62ED"/>
    <w:rsid w:val="00E52171"/>
    <w:rsid w:val="00EF79AA"/>
    <w:rsid w:val="00F21FD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2017-10-05T23:29:00Z</dcterms:created>
  <dcterms:modified xsi:type="dcterms:W3CDTF">2017-10-05T23:29:00Z</dcterms:modified>
</cp:coreProperties>
</file>