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17B21DA4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441E61">
              <w:t>Y. Abrams</w:t>
            </w:r>
          </w:p>
        </w:tc>
        <w:tc>
          <w:tcPr>
            <w:tcW w:w="3599" w:type="dxa"/>
          </w:tcPr>
          <w:p w14:paraId="6584A34C" w14:textId="2727E902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441E61">
              <w:rPr>
                <w:color w:val="00B050"/>
                <w:sz w:val="32"/>
                <w:szCs w:val="32"/>
              </w:rPr>
              <w:t>Biology I CP</w:t>
            </w:r>
          </w:p>
        </w:tc>
        <w:tc>
          <w:tcPr>
            <w:tcW w:w="3599" w:type="dxa"/>
          </w:tcPr>
          <w:p w14:paraId="2C798E60" w14:textId="4122AFB1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441E61">
              <w:t>3 and 4</w:t>
            </w:r>
          </w:p>
        </w:tc>
        <w:tc>
          <w:tcPr>
            <w:tcW w:w="7383" w:type="dxa"/>
          </w:tcPr>
          <w:p w14:paraId="4E57C4B4" w14:textId="780D1915" w:rsidR="009E4453" w:rsidRPr="009E4453" w:rsidRDefault="009E4453" w:rsidP="0047191F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DB768F">
              <w:t>/</w:t>
            </w:r>
            <w:r w:rsidR="002C0BAB" w:rsidRPr="00B66DC2">
              <w:t>Dates:</w:t>
            </w:r>
            <w:r w:rsidR="00441E61">
              <w:t xml:space="preserve">  </w:t>
            </w:r>
            <w:r w:rsidR="00F05514">
              <w:t>10/</w:t>
            </w:r>
            <w:r w:rsidR="00132EC8">
              <w:t>30</w:t>
            </w:r>
            <w:r w:rsidR="00F05514">
              <w:t xml:space="preserve"> – </w:t>
            </w:r>
            <w:r w:rsidR="00132EC8">
              <w:t>11/3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298832AA" w:rsidR="009A1FFA" w:rsidRPr="009E4453" w:rsidRDefault="009A1FFA" w:rsidP="0047191F">
            <w:r>
              <w:t>Unit Title:</w:t>
            </w:r>
            <w:r w:rsidR="00441E61">
              <w:t xml:space="preserve">  </w:t>
            </w:r>
            <w:r w:rsidR="008A4F3A">
              <w:t>Cellular Energy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690C7D4C" w:rsidR="009D7745" w:rsidRDefault="009D7745" w:rsidP="00D179D5">
            <w:r>
              <w:t xml:space="preserve">State Standards:  </w:t>
            </w:r>
            <w:r w:rsidR="008A4F3A">
              <w:t>B-3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8"/>
        <w:gridCol w:w="1351"/>
        <w:gridCol w:w="1848"/>
        <w:gridCol w:w="767"/>
        <w:gridCol w:w="2078"/>
        <w:gridCol w:w="1066"/>
        <w:gridCol w:w="2171"/>
        <w:gridCol w:w="1883"/>
        <w:gridCol w:w="1805"/>
        <w:gridCol w:w="1854"/>
      </w:tblGrid>
      <w:tr w:rsidR="009D7745" w14:paraId="7DC99A0A" w14:textId="7EB6FD20" w:rsidTr="007E2534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3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7E2534" w14:paraId="7245FCD5" w14:textId="4B456C9A" w:rsidTr="007E2534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272C0A23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H.B.3A.1</w:t>
            </w:r>
          </w:p>
          <w:p w14:paraId="15488BFA" w14:textId="3F98E6B9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1B2EA062" w14:textId="60E83346" w:rsidR="003E17AA" w:rsidRPr="00780C80" w:rsidRDefault="00132EC8" w:rsidP="007E2534">
            <w:pPr>
              <w:rPr>
                <w:sz w:val="18"/>
              </w:rPr>
            </w:pPr>
            <w:r w:rsidRPr="00132EC8">
              <w:rPr>
                <w:sz w:val="18"/>
              </w:rPr>
              <w:t xml:space="preserve">Develop and use models to explain how chemical reactions among ATP, ADP, and inorganic phosphate act to transfer chemical energy within cells.  </w:t>
            </w:r>
          </w:p>
        </w:tc>
        <w:tc>
          <w:tcPr>
            <w:tcW w:w="3199" w:type="dxa"/>
            <w:gridSpan w:val="2"/>
          </w:tcPr>
          <w:p w14:paraId="3DFE45D0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Warm-up question (10 min.)</w:t>
            </w:r>
          </w:p>
          <w:p w14:paraId="2F4C1A13" w14:textId="3EDBB8EB" w:rsidR="008A4F3A" w:rsidRPr="007E2534" w:rsidRDefault="00132EC8" w:rsidP="007E2534">
            <w:pPr>
              <w:rPr>
                <w:sz w:val="18"/>
              </w:rPr>
            </w:pPr>
            <w:r>
              <w:rPr>
                <w:sz w:val="18"/>
              </w:rPr>
              <w:t>Calorimetry lab</w:t>
            </w:r>
            <w:r w:rsidR="008A4F3A">
              <w:rPr>
                <w:sz w:val="18"/>
              </w:rPr>
              <w:t xml:space="preserve"> (</w:t>
            </w:r>
            <w:r>
              <w:rPr>
                <w:sz w:val="18"/>
              </w:rPr>
              <w:t>75</w:t>
            </w:r>
            <w:r w:rsidR="008A4F3A">
              <w:rPr>
                <w:sz w:val="18"/>
              </w:rPr>
              <w:t xml:space="preserve"> min.)</w:t>
            </w:r>
          </w:p>
          <w:p w14:paraId="3A82FCC8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Exit slip (5 min.)</w:t>
            </w:r>
          </w:p>
          <w:p w14:paraId="66CB89AB" w14:textId="35F61E89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5EB54131" w14:textId="77777777" w:rsidR="007E2534" w:rsidRPr="007E2534" w:rsidRDefault="007E2534" w:rsidP="007E2534">
            <w:pPr>
              <w:rPr>
                <w:sz w:val="18"/>
                <w:szCs w:val="18"/>
              </w:rPr>
            </w:pPr>
            <w:r w:rsidRPr="007E2534">
              <w:rPr>
                <w:sz w:val="18"/>
                <w:szCs w:val="18"/>
              </w:rPr>
              <w:t>Respond to warm-up question using content knowledge.</w:t>
            </w:r>
          </w:p>
          <w:p w14:paraId="296D5C8F" w14:textId="23CADC7C" w:rsidR="00DB768F" w:rsidRPr="00780C80" w:rsidRDefault="00132EC8" w:rsidP="003E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data to calculate calories in food sources</w:t>
            </w:r>
          </w:p>
        </w:tc>
        <w:tc>
          <w:tcPr>
            <w:tcW w:w="3237" w:type="dxa"/>
            <w:gridSpan w:val="2"/>
          </w:tcPr>
          <w:p w14:paraId="7DC8FCB7" w14:textId="2293EFFE" w:rsidR="00132EC8" w:rsidRDefault="00132EC8" w:rsidP="007E2534">
            <w:pPr>
              <w:rPr>
                <w:sz w:val="18"/>
              </w:rPr>
            </w:pPr>
            <w:r w:rsidRPr="00132EC8">
              <w:rPr>
                <w:sz w:val="18"/>
              </w:rPr>
              <w:t>Informal assessment by asking questions and student summaries during class</w:t>
            </w:r>
            <w:r>
              <w:rPr>
                <w:sz w:val="18"/>
              </w:rPr>
              <w:t>.</w:t>
            </w:r>
          </w:p>
          <w:p w14:paraId="206AB253" w14:textId="454B7918" w:rsidR="00132EC8" w:rsidRDefault="00132EC8" w:rsidP="007E2534">
            <w:pPr>
              <w:rPr>
                <w:sz w:val="18"/>
              </w:rPr>
            </w:pPr>
            <w:r>
              <w:rPr>
                <w:sz w:val="18"/>
              </w:rPr>
              <w:t>Lab report.</w:t>
            </w:r>
          </w:p>
          <w:p w14:paraId="6B9066AD" w14:textId="0CC507CD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Unit test that includes multiple choice questions, graphic interpretation, and free response questions.</w:t>
            </w:r>
          </w:p>
          <w:p w14:paraId="6384A1F4" w14:textId="1C1ABE12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0BEE3C0E" w14:textId="19705EB3" w:rsidR="007E2534" w:rsidRDefault="00132EC8" w:rsidP="007E2534">
            <w:pPr>
              <w:rPr>
                <w:sz w:val="18"/>
              </w:rPr>
            </w:pPr>
            <w:r>
              <w:rPr>
                <w:sz w:val="18"/>
              </w:rPr>
              <w:t>Assigned lab groups</w:t>
            </w:r>
          </w:p>
        </w:tc>
        <w:tc>
          <w:tcPr>
            <w:tcW w:w="1805" w:type="dxa"/>
          </w:tcPr>
          <w:p w14:paraId="598B74F4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Biology textbook</w:t>
            </w:r>
          </w:p>
          <w:p w14:paraId="561291A0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Handouts</w:t>
            </w:r>
          </w:p>
          <w:p w14:paraId="4D829D95" w14:textId="003945AE" w:rsidR="007E2534" w:rsidRDefault="00132EC8" w:rsidP="00132EC8">
            <w:pPr>
              <w:rPr>
                <w:sz w:val="18"/>
              </w:rPr>
            </w:pPr>
            <w:r>
              <w:rPr>
                <w:sz w:val="18"/>
              </w:rPr>
              <w:t>Lab materials</w:t>
            </w:r>
          </w:p>
        </w:tc>
        <w:tc>
          <w:tcPr>
            <w:tcW w:w="1854" w:type="dxa"/>
          </w:tcPr>
          <w:p w14:paraId="6287C06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41642BCF" w14:textId="0CECE85F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10352201" w14:textId="137E8A01" w:rsidTr="007E2534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C266847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840141E" w14:textId="6F157B5A" w:rsidR="0047191F" w:rsidRPr="0047191F" w:rsidRDefault="003E17AA" w:rsidP="0047191F">
            <w:pPr>
              <w:rPr>
                <w:sz w:val="18"/>
              </w:rPr>
            </w:pPr>
            <w:r>
              <w:rPr>
                <w:sz w:val="18"/>
              </w:rPr>
              <w:t>H.B</w:t>
            </w:r>
            <w:r w:rsidR="008A4F3A">
              <w:rPr>
                <w:sz w:val="18"/>
              </w:rPr>
              <w:t>.3A.1</w:t>
            </w:r>
          </w:p>
          <w:p w14:paraId="0AC5FE5E" w14:textId="429B6691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68BC02A9" w14:textId="5F526649" w:rsidR="007E2534" w:rsidRPr="00780C80" w:rsidRDefault="008A4F3A" w:rsidP="007E2534">
            <w:pPr>
              <w:rPr>
                <w:sz w:val="18"/>
              </w:rPr>
            </w:pPr>
            <w:r>
              <w:rPr>
                <w:sz w:val="18"/>
              </w:rPr>
              <w:t>Develop and use models to explain how chemical reactions among ATP, ADP, and inorganic phosphate act to transfer chemical energy within cells.</w:t>
            </w:r>
            <w:r w:rsidR="0047191F" w:rsidRPr="0047191F">
              <w:rPr>
                <w:sz w:val="18"/>
              </w:rPr>
              <w:t xml:space="preserve">  </w:t>
            </w:r>
          </w:p>
        </w:tc>
        <w:tc>
          <w:tcPr>
            <w:tcW w:w="3199" w:type="dxa"/>
            <w:gridSpan w:val="2"/>
          </w:tcPr>
          <w:p w14:paraId="6C3A0A92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Warm-up question (10 min.)</w:t>
            </w:r>
          </w:p>
          <w:p w14:paraId="09B47682" w14:textId="2F91F722" w:rsidR="00132EC8" w:rsidRDefault="00132EC8" w:rsidP="00132EC8">
            <w:pPr>
              <w:rPr>
                <w:sz w:val="18"/>
              </w:rPr>
            </w:pPr>
            <w:r>
              <w:rPr>
                <w:sz w:val="18"/>
              </w:rPr>
              <w:t>Introduction to cellular energy notes</w:t>
            </w:r>
            <w:r w:rsidRPr="00132EC8">
              <w:rPr>
                <w:sz w:val="18"/>
              </w:rPr>
              <w:t xml:space="preserve"> (</w:t>
            </w:r>
            <w:r>
              <w:rPr>
                <w:sz w:val="18"/>
              </w:rPr>
              <w:t>25</w:t>
            </w:r>
            <w:r w:rsidRPr="00132EC8">
              <w:rPr>
                <w:sz w:val="18"/>
              </w:rPr>
              <w:t xml:space="preserve"> min.)</w:t>
            </w:r>
          </w:p>
          <w:p w14:paraId="0DC2B330" w14:textId="3C5EF2EF" w:rsidR="00132EC8" w:rsidRPr="00132EC8" w:rsidRDefault="00132EC8" w:rsidP="00132EC8">
            <w:pPr>
              <w:rPr>
                <w:sz w:val="18"/>
              </w:rPr>
            </w:pPr>
            <w:r>
              <w:rPr>
                <w:sz w:val="18"/>
              </w:rPr>
              <w:t>Model ATP/ADP cycle activity (50 min.)</w:t>
            </w:r>
          </w:p>
          <w:p w14:paraId="6B330941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Exit slip (5 min.)</w:t>
            </w:r>
          </w:p>
          <w:p w14:paraId="3FE6D91C" w14:textId="1B8F86FB" w:rsidR="007E2534" w:rsidRPr="007E2534" w:rsidRDefault="008A4F3A" w:rsidP="007E2534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14:paraId="0FBF0C2B" w14:textId="042B2A55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4BFD8BD9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Respond to warm-up question using content knowledge.</w:t>
            </w:r>
          </w:p>
          <w:p w14:paraId="2F427EB3" w14:textId="3BE271CE" w:rsidR="007E2534" w:rsidRPr="00780C80" w:rsidRDefault="00132EC8" w:rsidP="003E17AA">
            <w:pPr>
              <w:rPr>
                <w:sz w:val="18"/>
              </w:rPr>
            </w:pPr>
            <w:r>
              <w:rPr>
                <w:sz w:val="18"/>
              </w:rPr>
              <w:t>Model energy transformation process.</w:t>
            </w:r>
          </w:p>
        </w:tc>
        <w:tc>
          <w:tcPr>
            <w:tcW w:w="3237" w:type="dxa"/>
            <w:gridSpan w:val="2"/>
          </w:tcPr>
          <w:p w14:paraId="1C14B75C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Informal assessment by asking questions and student summaries during class.</w:t>
            </w:r>
          </w:p>
          <w:p w14:paraId="019FB97A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Unit test that includes multiple choice questions, graphic interpretation, and free response questions.</w:t>
            </w:r>
          </w:p>
          <w:p w14:paraId="250371E5" w14:textId="18BAA4DE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1362F1C5" w14:textId="25568AF9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Individual practice</w:t>
            </w:r>
          </w:p>
          <w:p w14:paraId="041E3B5E" w14:textId="575FE434" w:rsidR="00132EC8" w:rsidRDefault="00132EC8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096D29FD" w14:textId="05A37450" w:rsidR="0047191F" w:rsidRDefault="0047191F" w:rsidP="007E2534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24EEDB4A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Biology textbook</w:t>
            </w:r>
          </w:p>
          <w:p w14:paraId="7A5F7AB3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Handouts</w:t>
            </w:r>
          </w:p>
          <w:p w14:paraId="3BF3168B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SMARTBORAD</w:t>
            </w:r>
          </w:p>
          <w:p w14:paraId="3BF0750D" w14:textId="0C361AA9" w:rsidR="007E2534" w:rsidRDefault="007E2534" w:rsidP="007E253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2E41F35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88101C1" w14:textId="3321985E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20E0F082" w14:textId="2036BEB1" w:rsidTr="007E2534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DE8C140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04E340FF" w14:textId="22B29A4F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H.B.</w:t>
            </w:r>
            <w:r>
              <w:rPr>
                <w:sz w:val="18"/>
              </w:rPr>
              <w:t>3A.3</w:t>
            </w:r>
          </w:p>
          <w:p w14:paraId="2B15D74D" w14:textId="22B43EC2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7FF17824" w14:textId="65D2338A" w:rsidR="0047191F" w:rsidRPr="00780C80" w:rsidRDefault="00132EC8" w:rsidP="007E2534">
            <w:pPr>
              <w:rPr>
                <w:sz w:val="18"/>
              </w:rPr>
            </w:pPr>
            <w:r>
              <w:rPr>
                <w:sz w:val="18"/>
              </w:rPr>
              <w:t>Construct scientific arguments to support claims that chemical elements in the sugar molecules produced by photosynthesis may interact with other elements to form macromolecules.</w:t>
            </w:r>
          </w:p>
        </w:tc>
        <w:tc>
          <w:tcPr>
            <w:tcW w:w="3199" w:type="dxa"/>
            <w:gridSpan w:val="2"/>
          </w:tcPr>
          <w:p w14:paraId="2BA2E1F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782670D5" w14:textId="0EBB7AF2" w:rsidR="0099314A" w:rsidRDefault="00132EC8" w:rsidP="007E2534">
            <w:pPr>
              <w:rPr>
                <w:sz w:val="18"/>
              </w:rPr>
            </w:pPr>
            <w:r>
              <w:rPr>
                <w:sz w:val="18"/>
              </w:rPr>
              <w:t>Chloroplast foldable</w:t>
            </w:r>
            <w:r w:rsidR="008A4F3A">
              <w:rPr>
                <w:sz w:val="18"/>
              </w:rPr>
              <w:t xml:space="preserve"> (</w:t>
            </w:r>
            <w:r>
              <w:rPr>
                <w:sz w:val="18"/>
              </w:rPr>
              <w:t>40</w:t>
            </w:r>
            <w:r w:rsidR="008A4F3A">
              <w:rPr>
                <w:sz w:val="18"/>
              </w:rPr>
              <w:t xml:space="preserve"> min.)</w:t>
            </w:r>
          </w:p>
          <w:p w14:paraId="496850F5" w14:textId="2F406348" w:rsidR="00132EC8" w:rsidRDefault="00132EC8" w:rsidP="007E2534">
            <w:pPr>
              <w:rPr>
                <w:sz w:val="18"/>
              </w:rPr>
            </w:pPr>
            <w:r>
              <w:rPr>
                <w:sz w:val="18"/>
              </w:rPr>
              <w:t>Photosynthesis notes (35 min.)</w:t>
            </w:r>
          </w:p>
          <w:p w14:paraId="60A9A60E" w14:textId="2E8EA342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  <w:p w14:paraId="6D9AEEBE" w14:textId="7777777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7F57C31D" w14:textId="77777777" w:rsidR="007E2534" w:rsidRPr="00BF10EB" w:rsidRDefault="007E2534" w:rsidP="007E2534">
            <w:pPr>
              <w:rPr>
                <w:sz w:val="18"/>
              </w:rPr>
            </w:pPr>
            <w:r w:rsidRPr="00BF10EB">
              <w:rPr>
                <w:sz w:val="18"/>
              </w:rPr>
              <w:t>Respond to warm-up question using content knowledge.</w:t>
            </w:r>
          </w:p>
          <w:p w14:paraId="6BC5DDFD" w14:textId="521674B9" w:rsidR="0023455E" w:rsidRPr="00780C80" w:rsidRDefault="00132EC8" w:rsidP="007E2534">
            <w:pPr>
              <w:rPr>
                <w:sz w:val="18"/>
              </w:rPr>
            </w:pPr>
            <w:r>
              <w:rPr>
                <w:sz w:val="18"/>
              </w:rPr>
              <w:t>Created foldable that explains process of photosynthesis.</w:t>
            </w:r>
          </w:p>
        </w:tc>
        <w:tc>
          <w:tcPr>
            <w:tcW w:w="3237" w:type="dxa"/>
            <w:gridSpan w:val="2"/>
          </w:tcPr>
          <w:p w14:paraId="013F8AFE" w14:textId="6D92F243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discussions/activities.</w:t>
            </w:r>
          </w:p>
          <w:p w14:paraId="12DA4DEA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Unit test that includes multiple choice questions, graphic interpretation, and free response questions.</w:t>
            </w:r>
          </w:p>
          <w:p w14:paraId="20E23390" w14:textId="6E4CB407" w:rsidR="007E2534" w:rsidRPr="00780C80" w:rsidRDefault="007E2534" w:rsidP="00132EC8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2497ACA1" w14:textId="7C612045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351FED3B" w14:textId="60BF7B98" w:rsidR="00132EC8" w:rsidRDefault="00132EC8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7E2ED6FD" w14:textId="6F2CDF2C" w:rsidR="00F05514" w:rsidRDefault="00F05514" w:rsidP="007E2534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3E2A92C9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Biology textbook</w:t>
            </w:r>
          </w:p>
          <w:p w14:paraId="024DF587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Handouts</w:t>
            </w:r>
          </w:p>
          <w:p w14:paraId="03D0DA9E" w14:textId="77777777" w:rsidR="00132EC8" w:rsidRPr="00132EC8" w:rsidRDefault="00132EC8" w:rsidP="00132EC8">
            <w:pPr>
              <w:rPr>
                <w:sz w:val="18"/>
              </w:rPr>
            </w:pPr>
            <w:r w:rsidRPr="00132EC8">
              <w:rPr>
                <w:sz w:val="18"/>
              </w:rPr>
              <w:t>SMARTBORAD</w:t>
            </w:r>
          </w:p>
          <w:p w14:paraId="65FA990D" w14:textId="45F5024C" w:rsidR="007E2534" w:rsidRDefault="007E2534" w:rsidP="007E253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05C1C2A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6F3E4A44" w14:textId="7555077C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236048BE" w14:textId="56FE8E9D" w:rsidTr="007E2534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E33DC48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4DA03E09" w14:textId="77777777" w:rsidR="008A4F3A" w:rsidRPr="008A4F3A" w:rsidRDefault="008A4F3A" w:rsidP="008A4F3A">
            <w:pPr>
              <w:rPr>
                <w:sz w:val="18"/>
              </w:rPr>
            </w:pPr>
            <w:r w:rsidRPr="008A4F3A">
              <w:rPr>
                <w:sz w:val="18"/>
              </w:rPr>
              <w:t>H.B.3A.1</w:t>
            </w:r>
          </w:p>
          <w:p w14:paraId="4B9C4146" w14:textId="77777777" w:rsidR="006F7324" w:rsidRPr="006F7324" w:rsidRDefault="006F7324" w:rsidP="006F7324">
            <w:pPr>
              <w:rPr>
                <w:sz w:val="18"/>
              </w:rPr>
            </w:pPr>
            <w:r w:rsidRPr="006F7324">
              <w:rPr>
                <w:sz w:val="18"/>
              </w:rPr>
              <w:t>H.B.3A.3</w:t>
            </w:r>
          </w:p>
          <w:p w14:paraId="317E2E46" w14:textId="7B198634" w:rsidR="007E2534" w:rsidRPr="00780C80" w:rsidRDefault="007E2534" w:rsidP="0023455E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50C210DD" w14:textId="5DFA7A11" w:rsidR="007E2534" w:rsidRPr="00780C80" w:rsidRDefault="008A4F3A" w:rsidP="0023455E">
            <w:pPr>
              <w:rPr>
                <w:sz w:val="18"/>
              </w:rPr>
            </w:pPr>
            <w:r w:rsidRPr="008A4F3A">
              <w:rPr>
                <w:sz w:val="18"/>
              </w:rPr>
              <w:t xml:space="preserve">Develop and use models to explain how chemical reactions among ATP, ADP, and inorganic phosphate act to transfer chemical energy within cells.  </w:t>
            </w:r>
            <w:r w:rsidR="006F7324" w:rsidRPr="006F7324">
              <w:rPr>
                <w:sz w:val="18"/>
              </w:rPr>
              <w:t>Construct scientific arguments to support claims that chemical elements in the sugar molecules produced by photosynthesis may interact with other elements to form macromolecules.</w:t>
            </w:r>
          </w:p>
        </w:tc>
        <w:tc>
          <w:tcPr>
            <w:tcW w:w="3199" w:type="dxa"/>
            <w:gridSpan w:val="2"/>
          </w:tcPr>
          <w:p w14:paraId="74D7B5C5" w14:textId="37973B49" w:rsidR="007E2534" w:rsidRDefault="006F7324" w:rsidP="007E2534">
            <w:pPr>
              <w:rPr>
                <w:sz w:val="18"/>
              </w:rPr>
            </w:pPr>
            <w:r>
              <w:rPr>
                <w:sz w:val="18"/>
              </w:rPr>
              <w:t>Substitute teacher plans:  Ch. 8 study guide</w:t>
            </w:r>
          </w:p>
          <w:p w14:paraId="400DDB88" w14:textId="7777777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2CBDD00D" w14:textId="49B9CCA7" w:rsidR="0023455E" w:rsidRPr="00CE324A" w:rsidRDefault="006F7324" w:rsidP="007E2534">
            <w:pPr>
              <w:rPr>
                <w:sz w:val="18"/>
              </w:rPr>
            </w:pPr>
            <w:r>
              <w:rPr>
                <w:sz w:val="18"/>
              </w:rPr>
              <w:t>Complete Ch. 8 study guide.</w:t>
            </w:r>
          </w:p>
          <w:p w14:paraId="6EABC3CD" w14:textId="746765BA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3237" w:type="dxa"/>
            <w:gridSpan w:val="2"/>
          </w:tcPr>
          <w:p w14:paraId="33299972" w14:textId="55ABAAA2" w:rsidR="007E2534" w:rsidRPr="00CE324A" w:rsidRDefault="006F7324" w:rsidP="007E2534">
            <w:pPr>
              <w:rPr>
                <w:sz w:val="18"/>
              </w:rPr>
            </w:pPr>
            <w:r>
              <w:rPr>
                <w:sz w:val="18"/>
              </w:rPr>
              <w:t>Study guide responses</w:t>
            </w:r>
          </w:p>
          <w:p w14:paraId="4E836FAE" w14:textId="4AEB6A0D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16026221" w14:textId="2A1A0863" w:rsidR="007E2534" w:rsidRDefault="006F732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6EC73BB9" w:rsidR="007E2534" w:rsidRDefault="007E2534" w:rsidP="007E2534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62EADB29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66E69B2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2F8C0A66" w14:textId="35BDF9EB" w:rsidR="007E2534" w:rsidRDefault="007E2534" w:rsidP="006F732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5A0D0E31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EB20C9A" w14:textId="41E6483D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13398C5F" w14:textId="0F98E8C8" w:rsidTr="007E2534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08E3456A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528A9970" w14:textId="77777777" w:rsidR="00DB768F" w:rsidRPr="00DB768F" w:rsidRDefault="00DB768F" w:rsidP="00DB768F">
            <w:pPr>
              <w:rPr>
                <w:sz w:val="18"/>
              </w:rPr>
            </w:pPr>
            <w:r w:rsidRPr="00DB768F">
              <w:rPr>
                <w:sz w:val="18"/>
              </w:rPr>
              <w:t>H.B.3A.1</w:t>
            </w:r>
          </w:p>
          <w:p w14:paraId="4BA6DA6B" w14:textId="77777777" w:rsidR="006F7324" w:rsidRPr="006F7324" w:rsidRDefault="006F7324" w:rsidP="006F7324">
            <w:pPr>
              <w:rPr>
                <w:sz w:val="18"/>
              </w:rPr>
            </w:pPr>
            <w:r w:rsidRPr="006F7324">
              <w:rPr>
                <w:sz w:val="18"/>
              </w:rPr>
              <w:t>H.B.3A.3</w:t>
            </w:r>
          </w:p>
          <w:p w14:paraId="2E4B6B66" w14:textId="161913AF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1E63FB61" w14:textId="30F25DE8" w:rsidR="007E2534" w:rsidRPr="00780C80" w:rsidRDefault="00DB768F" w:rsidP="007E2534">
            <w:pPr>
              <w:rPr>
                <w:sz w:val="18"/>
              </w:rPr>
            </w:pPr>
            <w:r w:rsidRPr="00DB768F">
              <w:rPr>
                <w:sz w:val="18"/>
              </w:rPr>
              <w:t xml:space="preserve">Develop and use models to explain how chemical reactions among ATP, ADP, and inorganic phosphate act to transfer chemical energy within cells.  </w:t>
            </w:r>
            <w:r w:rsidR="006F7324" w:rsidRPr="006F7324">
              <w:rPr>
                <w:sz w:val="18"/>
              </w:rPr>
              <w:t>Construct scientific arguments to support claims that chemical elements in the sugar molecules produced by photosynthesis may interact with other elements to form macromolecules.</w:t>
            </w:r>
          </w:p>
        </w:tc>
        <w:tc>
          <w:tcPr>
            <w:tcW w:w="3199" w:type="dxa"/>
            <w:gridSpan w:val="2"/>
          </w:tcPr>
          <w:p w14:paraId="27594C46" w14:textId="0C6537C7" w:rsidR="006F7324" w:rsidRPr="006F7324" w:rsidRDefault="006F7324" w:rsidP="006F7324">
            <w:pPr>
              <w:rPr>
                <w:sz w:val="18"/>
              </w:rPr>
            </w:pPr>
            <w:r w:rsidRPr="006F7324">
              <w:rPr>
                <w:sz w:val="18"/>
              </w:rPr>
              <w:t xml:space="preserve">Substitute teacher plans:  Ch. 8 </w:t>
            </w:r>
            <w:r>
              <w:rPr>
                <w:sz w:val="18"/>
              </w:rPr>
              <w:t>textbook questions</w:t>
            </w:r>
          </w:p>
          <w:p w14:paraId="7CAF6B1C" w14:textId="6E17EFD9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70AD1E2F" w14:textId="3900A7BC" w:rsidR="00900F11" w:rsidRPr="00780C80" w:rsidRDefault="006F7324" w:rsidP="007E2534">
            <w:pPr>
              <w:rPr>
                <w:sz w:val="18"/>
              </w:rPr>
            </w:pPr>
            <w:r>
              <w:rPr>
                <w:sz w:val="18"/>
              </w:rPr>
              <w:t>Answer select questions from Ch. 8 of textbook.</w:t>
            </w:r>
          </w:p>
        </w:tc>
        <w:tc>
          <w:tcPr>
            <w:tcW w:w="3237" w:type="dxa"/>
            <w:gridSpan w:val="2"/>
          </w:tcPr>
          <w:p w14:paraId="5A6CBD5E" w14:textId="154D686C" w:rsidR="00DB768F" w:rsidRPr="00DB768F" w:rsidRDefault="006F7324" w:rsidP="00DB768F">
            <w:pPr>
              <w:rPr>
                <w:sz w:val="18"/>
              </w:rPr>
            </w:pPr>
            <w:r>
              <w:rPr>
                <w:sz w:val="18"/>
              </w:rPr>
              <w:t>Question responses</w:t>
            </w:r>
          </w:p>
          <w:p w14:paraId="3C6BEB95" w14:textId="112140E8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7F9822E6" w14:textId="3FA95933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1A78E2E0" w14:textId="4271DD94" w:rsidR="0023455E" w:rsidRDefault="0023455E" w:rsidP="006F7324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157F38CD" w14:textId="77777777" w:rsidR="00DB768F" w:rsidRPr="00DB768F" w:rsidRDefault="00DB768F" w:rsidP="00DB768F">
            <w:pPr>
              <w:rPr>
                <w:sz w:val="18"/>
              </w:rPr>
            </w:pPr>
            <w:r w:rsidRPr="00DB768F">
              <w:rPr>
                <w:sz w:val="18"/>
              </w:rPr>
              <w:t>Biology textbook</w:t>
            </w:r>
          </w:p>
          <w:p w14:paraId="4CB2BEEE" w14:textId="77777777" w:rsidR="00DB768F" w:rsidRPr="00DB768F" w:rsidRDefault="00DB768F" w:rsidP="00DB768F">
            <w:pPr>
              <w:rPr>
                <w:sz w:val="18"/>
              </w:rPr>
            </w:pPr>
            <w:r w:rsidRPr="00DB768F">
              <w:rPr>
                <w:sz w:val="18"/>
              </w:rPr>
              <w:t>Handouts</w:t>
            </w:r>
          </w:p>
          <w:p w14:paraId="69B37497" w14:textId="77777777" w:rsidR="007E2534" w:rsidRDefault="007E2534" w:rsidP="003146F4">
            <w:pPr>
              <w:rPr>
                <w:sz w:val="18"/>
              </w:rPr>
            </w:pPr>
            <w:bookmarkStart w:id="0" w:name="_GoBack"/>
            <w:bookmarkEnd w:id="0"/>
          </w:p>
          <w:p w14:paraId="46347059" w14:textId="77777777" w:rsidR="002A3C28" w:rsidRDefault="002A3C28" w:rsidP="003146F4">
            <w:pPr>
              <w:rPr>
                <w:sz w:val="18"/>
              </w:rPr>
            </w:pPr>
          </w:p>
          <w:p w14:paraId="2AA47C86" w14:textId="248CBCD1" w:rsidR="002A3C28" w:rsidRDefault="002A3C28" w:rsidP="003146F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5E33436D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826F494" w14:textId="6FAE828A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</w:tbl>
    <w:p w14:paraId="21CAD8CD" w14:textId="5507758F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132EC8"/>
    <w:rsid w:val="001549C8"/>
    <w:rsid w:val="001777D9"/>
    <w:rsid w:val="001B06D3"/>
    <w:rsid w:val="0023455E"/>
    <w:rsid w:val="002A339A"/>
    <w:rsid w:val="002A3C28"/>
    <w:rsid w:val="002C0BAB"/>
    <w:rsid w:val="002F06F0"/>
    <w:rsid w:val="003146F4"/>
    <w:rsid w:val="00327E9D"/>
    <w:rsid w:val="003E17AA"/>
    <w:rsid w:val="003F2945"/>
    <w:rsid w:val="00441E61"/>
    <w:rsid w:val="0047191F"/>
    <w:rsid w:val="004B7AC6"/>
    <w:rsid w:val="00515F02"/>
    <w:rsid w:val="005173B5"/>
    <w:rsid w:val="00544FA6"/>
    <w:rsid w:val="00560C0F"/>
    <w:rsid w:val="006E7D18"/>
    <w:rsid w:val="006F7324"/>
    <w:rsid w:val="00712C0D"/>
    <w:rsid w:val="00780C80"/>
    <w:rsid w:val="00782A25"/>
    <w:rsid w:val="007B3C3F"/>
    <w:rsid w:val="007E2534"/>
    <w:rsid w:val="00811F70"/>
    <w:rsid w:val="00864E90"/>
    <w:rsid w:val="008A4F3A"/>
    <w:rsid w:val="008B3E9C"/>
    <w:rsid w:val="008C3ACA"/>
    <w:rsid w:val="00900F11"/>
    <w:rsid w:val="009207B4"/>
    <w:rsid w:val="0099314A"/>
    <w:rsid w:val="009A0590"/>
    <w:rsid w:val="009A1FFA"/>
    <w:rsid w:val="009D7745"/>
    <w:rsid w:val="009E3127"/>
    <w:rsid w:val="009E4453"/>
    <w:rsid w:val="00AD723C"/>
    <w:rsid w:val="00AF6F39"/>
    <w:rsid w:val="00B66DC2"/>
    <w:rsid w:val="00B870F9"/>
    <w:rsid w:val="00BF10EB"/>
    <w:rsid w:val="00C312EC"/>
    <w:rsid w:val="00CE324A"/>
    <w:rsid w:val="00D179D5"/>
    <w:rsid w:val="00D74523"/>
    <w:rsid w:val="00D93F16"/>
    <w:rsid w:val="00DB768F"/>
    <w:rsid w:val="00DF2E1E"/>
    <w:rsid w:val="00DF62ED"/>
    <w:rsid w:val="00E52171"/>
    <w:rsid w:val="00EB64C6"/>
    <w:rsid w:val="00EF79AA"/>
    <w:rsid w:val="00F05514"/>
    <w:rsid w:val="00F575E9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A6BB-22B8-47BF-8D86-51C38D9F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2017-10-27T17:41:00Z</dcterms:created>
  <dcterms:modified xsi:type="dcterms:W3CDTF">2017-10-27T17:41:00Z</dcterms:modified>
</cp:coreProperties>
</file>