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913A67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913A67">
              <w:rPr>
                <w:rFonts w:ascii="Andalus" w:hAnsi="Andalus" w:cs="Andalus"/>
              </w:rPr>
              <w:t xml:space="preserve"> 8/29</w:t>
            </w:r>
            <w:r w:rsidR="00F34E48">
              <w:rPr>
                <w:rFonts w:ascii="Andalus" w:hAnsi="Andalus" w:cs="Andalus"/>
              </w:rPr>
              <w:t>-</w:t>
            </w:r>
            <w:r w:rsidR="00913A67">
              <w:rPr>
                <w:rFonts w:ascii="Andalus" w:hAnsi="Andalus" w:cs="Andalus"/>
              </w:rPr>
              <w:t>9/2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1"/>
        <w:gridCol w:w="1613"/>
        <w:gridCol w:w="1485"/>
        <w:gridCol w:w="1648"/>
        <w:gridCol w:w="1427"/>
        <w:gridCol w:w="1727"/>
        <w:gridCol w:w="1350"/>
        <w:gridCol w:w="1860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</w:p>
        </w:tc>
        <w:tc>
          <w:tcPr>
            <w:tcW w:w="1168" w:type="dxa"/>
          </w:tcPr>
          <w:p w:rsidR="00DF62ED" w:rsidRPr="004D4E0C" w:rsidRDefault="007271DC" w:rsidP="007271DC">
            <w:pPr>
              <w:rPr>
                <w:rFonts w:ascii="Andalus" w:hAnsi="Andalus" w:cs="Andalus"/>
                <w:sz w:val="22"/>
                <w:szCs w:val="22"/>
              </w:rPr>
            </w:pPr>
            <w:r w:rsidRPr="004D4E0C">
              <w:rPr>
                <w:rFonts w:ascii="Andalus" w:hAnsi="Andalus" w:cs="Andalus"/>
                <w:sz w:val="22"/>
                <w:szCs w:val="22"/>
              </w:rPr>
              <w:t>E2-RL.10</w:t>
            </w:r>
          </w:p>
        </w:tc>
        <w:tc>
          <w:tcPr>
            <w:tcW w:w="3169" w:type="dxa"/>
            <w:gridSpan w:val="2"/>
          </w:tcPr>
          <w:p w:rsidR="00DF62ED" w:rsidRDefault="00BA4508" w:rsidP="00327E9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New V</w:t>
            </w:r>
            <w:r w:rsidR="007271DC" w:rsidRPr="004D4E0C">
              <w:rPr>
                <w:rFonts w:ascii="Andalus" w:hAnsi="Andalus" w:cs="Andalus"/>
                <w:sz w:val="22"/>
                <w:szCs w:val="22"/>
              </w:rPr>
              <w:t>ocabulary</w:t>
            </w:r>
          </w:p>
          <w:p w:rsidR="004D4E0C" w:rsidRDefault="004D4E0C" w:rsidP="00327E9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86320A" w:rsidRPr="004D4E0C" w:rsidRDefault="0086320A" w:rsidP="00327E9D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vAlign w:val="center"/>
          </w:tcPr>
          <w:p w:rsidR="00DF62ED" w:rsidRPr="004D4E0C" w:rsidRDefault="00BA4508" w:rsidP="00EE05E0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P23</w:t>
            </w:r>
            <w:r w:rsidR="00913A67">
              <w:rPr>
                <w:rFonts w:ascii="Andalus" w:hAnsi="Andalus" w:cs="Andalus"/>
                <w:sz w:val="22"/>
                <w:szCs w:val="22"/>
              </w:rPr>
              <w:t>Provide grade-level appropriate words/ word wall</w:t>
            </w:r>
          </w:p>
        </w:tc>
        <w:tc>
          <w:tcPr>
            <w:tcW w:w="3165" w:type="dxa"/>
            <w:gridSpan w:val="2"/>
            <w:vAlign w:val="center"/>
          </w:tcPr>
          <w:p w:rsidR="00DF62ED" w:rsidRPr="004D4E0C" w:rsidRDefault="00BA4508" w:rsidP="00327E9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Define new words</w:t>
            </w:r>
          </w:p>
        </w:tc>
        <w:tc>
          <w:tcPr>
            <w:tcW w:w="3216" w:type="dxa"/>
            <w:gridSpan w:val="2"/>
          </w:tcPr>
          <w:p w:rsidR="00DF62ED" w:rsidRDefault="00CA2277" w:rsidP="00CA2277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Pleasure Reading 20 minutes</w:t>
            </w:r>
          </w:p>
          <w:p w:rsidR="00707905" w:rsidRPr="004D4E0C" w:rsidRDefault="00707905" w:rsidP="00CA2277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Study Vocab</w:t>
            </w: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</w:p>
        </w:tc>
        <w:tc>
          <w:tcPr>
            <w:tcW w:w="1168" w:type="dxa"/>
          </w:tcPr>
          <w:p w:rsidR="00DF62ED" w:rsidRPr="004D4E0C" w:rsidRDefault="007271DC">
            <w:pPr>
              <w:rPr>
                <w:rFonts w:ascii="Andalus" w:hAnsi="Andalus" w:cs="Andalus"/>
                <w:sz w:val="22"/>
                <w:szCs w:val="22"/>
              </w:rPr>
            </w:pPr>
            <w:r w:rsidRPr="004D4E0C">
              <w:rPr>
                <w:rFonts w:ascii="Andalus" w:hAnsi="Andalus" w:cs="Andalus"/>
                <w:sz w:val="22"/>
                <w:szCs w:val="22"/>
              </w:rPr>
              <w:t>E2-RL</w:t>
            </w:r>
            <w:r w:rsidR="0048221E" w:rsidRPr="004D4E0C">
              <w:rPr>
                <w:rFonts w:ascii="Andalus" w:hAnsi="Andalus" w:cs="Andalus"/>
                <w:sz w:val="22"/>
                <w:szCs w:val="22"/>
              </w:rPr>
              <w:t>.6</w:t>
            </w:r>
          </w:p>
        </w:tc>
        <w:tc>
          <w:tcPr>
            <w:tcW w:w="3169" w:type="dxa"/>
            <w:gridSpan w:val="2"/>
          </w:tcPr>
          <w:p w:rsidR="009207B4" w:rsidRPr="004D4E0C" w:rsidRDefault="007271DC" w:rsidP="007271DC">
            <w:pPr>
              <w:rPr>
                <w:rFonts w:ascii="Andalus" w:hAnsi="Andalus" w:cs="Andalus"/>
                <w:sz w:val="22"/>
                <w:szCs w:val="22"/>
              </w:rPr>
            </w:pPr>
            <w:r w:rsidRPr="004D4E0C">
              <w:rPr>
                <w:rFonts w:ascii="Andalus" w:hAnsi="Andalus" w:cs="Andalus"/>
                <w:sz w:val="22"/>
                <w:szCs w:val="22"/>
              </w:rPr>
              <w:t xml:space="preserve">Summarize key details to support analysis of theme development. </w:t>
            </w:r>
          </w:p>
          <w:p w:rsidR="004D4E0C" w:rsidRPr="004D4E0C" w:rsidRDefault="004D4E0C" w:rsidP="007271DC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DF62ED" w:rsidRPr="004D4E0C" w:rsidRDefault="004D4E0C">
            <w:pPr>
              <w:rPr>
                <w:rFonts w:ascii="Andalus" w:hAnsi="Andalus" w:cs="Andalus"/>
                <w:sz w:val="22"/>
                <w:szCs w:val="22"/>
              </w:rPr>
            </w:pPr>
            <w:r w:rsidRPr="004D4E0C">
              <w:rPr>
                <w:rFonts w:ascii="Andalus" w:hAnsi="Andalus" w:cs="Andalus"/>
                <w:sz w:val="22"/>
                <w:szCs w:val="22"/>
              </w:rPr>
              <w:t>Read “What, of This Goldfish,</w:t>
            </w:r>
          </w:p>
          <w:p w:rsidR="004D4E0C" w:rsidRPr="004D4E0C" w:rsidRDefault="004D4E0C">
            <w:pPr>
              <w:rPr>
                <w:rFonts w:ascii="Andalus" w:hAnsi="Andalus" w:cs="Andalus"/>
                <w:sz w:val="22"/>
                <w:szCs w:val="22"/>
              </w:rPr>
            </w:pPr>
            <w:r w:rsidRPr="004D4E0C">
              <w:rPr>
                <w:rFonts w:ascii="Andalus" w:hAnsi="Andalus" w:cs="Andalus"/>
                <w:sz w:val="22"/>
                <w:szCs w:val="22"/>
              </w:rPr>
              <w:t>Would You Wish?” P 3</w:t>
            </w:r>
          </w:p>
        </w:tc>
        <w:tc>
          <w:tcPr>
            <w:tcW w:w="3165" w:type="dxa"/>
            <w:gridSpan w:val="2"/>
          </w:tcPr>
          <w:p w:rsidR="00DF62ED" w:rsidRDefault="00BA450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Read p20-23</w:t>
            </w:r>
            <w:r w:rsidR="004D4E0C" w:rsidRPr="004D4E0C"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48221E" w:rsidRPr="004D4E0C">
              <w:rPr>
                <w:rFonts w:ascii="Andalus" w:hAnsi="Andalus" w:cs="Andalus"/>
                <w:sz w:val="22"/>
                <w:szCs w:val="22"/>
              </w:rPr>
              <w:t xml:space="preserve">  </w:t>
            </w:r>
          </w:p>
          <w:p w:rsidR="005500D3" w:rsidRPr="004D4E0C" w:rsidRDefault="005500D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Create backstory for both characters’ lives.</w:t>
            </w:r>
          </w:p>
        </w:tc>
        <w:tc>
          <w:tcPr>
            <w:tcW w:w="3216" w:type="dxa"/>
            <w:gridSpan w:val="2"/>
          </w:tcPr>
          <w:p w:rsidR="00DF62ED" w:rsidRPr="004D4E0C" w:rsidRDefault="00647B6D" w:rsidP="00647B6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Pleasure Reading 20 minutes</w:t>
            </w:r>
            <w:r w:rsidRPr="004D4E0C">
              <w:rPr>
                <w:rFonts w:ascii="Andalus" w:hAnsi="Andalus" w:cs="Andalus"/>
                <w:sz w:val="22"/>
                <w:szCs w:val="22"/>
              </w:rPr>
              <w:t xml:space="preserve"> 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</w:p>
        </w:tc>
        <w:tc>
          <w:tcPr>
            <w:tcW w:w="1168" w:type="dxa"/>
          </w:tcPr>
          <w:p w:rsidR="00DF62ED" w:rsidRPr="004D4E0C" w:rsidRDefault="004D4E0C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E2-W</w:t>
            </w:r>
            <w:r w:rsidR="0086320A">
              <w:rPr>
                <w:rFonts w:ascii="Andalus" w:hAnsi="Andalus" w:cs="Andalus"/>
                <w:sz w:val="22"/>
                <w:szCs w:val="22"/>
              </w:rPr>
              <w:t>.</w:t>
            </w:r>
            <w:r>
              <w:rPr>
                <w:rFonts w:ascii="Andalus" w:hAnsi="Andalus" w:cs="Andalus"/>
                <w:sz w:val="22"/>
                <w:szCs w:val="22"/>
              </w:rPr>
              <w:t>4</w:t>
            </w:r>
          </w:p>
        </w:tc>
        <w:tc>
          <w:tcPr>
            <w:tcW w:w="3169" w:type="dxa"/>
            <w:gridSpan w:val="2"/>
          </w:tcPr>
          <w:p w:rsidR="00DF62ED" w:rsidRPr="004D4E0C" w:rsidRDefault="005500D3" w:rsidP="005500D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Begin</w:t>
            </w:r>
            <w:r w:rsidR="004D4E0C">
              <w:rPr>
                <w:rFonts w:ascii="Andalus" w:hAnsi="Andalus" w:cs="Andalus"/>
                <w:sz w:val="22"/>
                <w:szCs w:val="22"/>
              </w:rPr>
              <w:t xml:space="preserve"> with </w:t>
            </w:r>
            <w:r w:rsidR="00913A67">
              <w:rPr>
                <w:rFonts w:ascii="Andalus" w:hAnsi="Andalus" w:cs="Andalus"/>
                <w:sz w:val="22"/>
                <w:szCs w:val="22"/>
              </w:rPr>
              <w:t>Humans of Andrews</w:t>
            </w:r>
            <w:r w:rsidR="004D4E0C">
              <w:rPr>
                <w:rFonts w:ascii="Andalus" w:hAnsi="Andalus" w:cs="Andalus"/>
                <w:sz w:val="22"/>
                <w:szCs w:val="22"/>
              </w:rPr>
              <w:t xml:space="preserve"> Essay </w:t>
            </w:r>
          </w:p>
        </w:tc>
        <w:tc>
          <w:tcPr>
            <w:tcW w:w="3141" w:type="dxa"/>
            <w:gridSpan w:val="2"/>
          </w:tcPr>
          <w:p w:rsidR="00DF62ED" w:rsidRPr="004D4E0C" w:rsidRDefault="004D4E0C" w:rsidP="00034AC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Weaknesses/ Strategy Paragraphs</w:t>
            </w:r>
          </w:p>
        </w:tc>
        <w:tc>
          <w:tcPr>
            <w:tcW w:w="3165" w:type="dxa"/>
            <w:gridSpan w:val="2"/>
          </w:tcPr>
          <w:p w:rsidR="00DF62ED" w:rsidRPr="004D4E0C" w:rsidRDefault="005500D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Questions pp. 9-11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DF62ED" w:rsidRPr="004D4E0C" w:rsidRDefault="00647B6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</w:p>
        </w:tc>
        <w:tc>
          <w:tcPr>
            <w:tcW w:w="1168" w:type="dxa"/>
          </w:tcPr>
          <w:p w:rsidR="00DF62ED" w:rsidRPr="004D4E0C" w:rsidRDefault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E2-W.2</w:t>
            </w:r>
          </w:p>
          <w:p w:rsidR="000E357D" w:rsidRPr="004D4E0C" w:rsidRDefault="000E357D">
            <w:pPr>
              <w:rPr>
                <w:rFonts w:ascii="Andalus" w:hAnsi="Andalus" w:cs="Andalus"/>
                <w:sz w:val="22"/>
                <w:szCs w:val="22"/>
              </w:rPr>
            </w:pPr>
            <w:r w:rsidRPr="004D4E0C">
              <w:rPr>
                <w:rFonts w:ascii="Andalus" w:hAnsi="Andalus" w:cs="Andalus"/>
                <w:sz w:val="22"/>
                <w:szCs w:val="22"/>
              </w:rPr>
              <w:t>E2-R.I.11</w:t>
            </w:r>
          </w:p>
        </w:tc>
        <w:tc>
          <w:tcPr>
            <w:tcW w:w="3169" w:type="dxa"/>
            <w:gridSpan w:val="2"/>
          </w:tcPr>
          <w:p w:rsidR="009207B4" w:rsidRDefault="00913A67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Continue with Humans of Andrews Essay</w:t>
            </w:r>
            <w:r w:rsidR="00034AC3" w:rsidRPr="004D4E0C">
              <w:rPr>
                <w:rFonts w:ascii="Andalus" w:hAnsi="Andalus" w:cs="Andalus"/>
                <w:sz w:val="22"/>
                <w:szCs w:val="22"/>
              </w:rPr>
              <w:t>.</w:t>
            </w:r>
          </w:p>
          <w:p w:rsidR="003F5B7A" w:rsidRDefault="003F5B7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Type and print</w:t>
            </w:r>
          </w:p>
          <w:p w:rsidR="0086320A" w:rsidRPr="004D4E0C" w:rsidRDefault="0086320A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DF62ED" w:rsidRPr="004D4E0C" w:rsidRDefault="003F5B7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Review guidelines regarding explanatory essays.</w:t>
            </w:r>
          </w:p>
        </w:tc>
        <w:tc>
          <w:tcPr>
            <w:tcW w:w="3165" w:type="dxa"/>
            <w:gridSpan w:val="2"/>
          </w:tcPr>
          <w:p w:rsidR="00DF62ED" w:rsidRPr="004D4E0C" w:rsidRDefault="004615AF">
            <w:pPr>
              <w:rPr>
                <w:rFonts w:ascii="Andalus" w:hAnsi="Andalus" w:cs="Andalus"/>
                <w:sz w:val="22"/>
                <w:szCs w:val="22"/>
              </w:rPr>
            </w:pPr>
            <w:r w:rsidRPr="004D4E0C">
              <w:rPr>
                <w:rFonts w:ascii="Andalus" w:hAnsi="Andalus" w:cs="Andalus"/>
                <w:sz w:val="22"/>
                <w:szCs w:val="22"/>
              </w:rPr>
              <w:t xml:space="preserve">Evaluate text and infer expectations. </w:t>
            </w:r>
          </w:p>
        </w:tc>
        <w:tc>
          <w:tcPr>
            <w:tcW w:w="3216" w:type="dxa"/>
            <w:gridSpan w:val="2"/>
          </w:tcPr>
          <w:p w:rsidR="00DF62ED" w:rsidRPr="004D4E0C" w:rsidRDefault="00647B6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</w:p>
        </w:tc>
        <w:tc>
          <w:tcPr>
            <w:tcW w:w="1168" w:type="dxa"/>
          </w:tcPr>
          <w:p w:rsidR="00DF62ED" w:rsidRPr="004D4E0C" w:rsidRDefault="000E357D">
            <w:pPr>
              <w:rPr>
                <w:rFonts w:ascii="Andalus" w:hAnsi="Andalus" w:cs="Andalus"/>
                <w:sz w:val="22"/>
                <w:szCs w:val="22"/>
              </w:rPr>
            </w:pPr>
            <w:r w:rsidRPr="004D4E0C">
              <w:rPr>
                <w:rFonts w:ascii="Andalus" w:hAnsi="Andalus" w:cs="Andalus"/>
                <w:sz w:val="22"/>
                <w:szCs w:val="22"/>
              </w:rPr>
              <w:t>E2.RI</w:t>
            </w:r>
          </w:p>
        </w:tc>
        <w:tc>
          <w:tcPr>
            <w:tcW w:w="3169" w:type="dxa"/>
            <w:gridSpan w:val="2"/>
          </w:tcPr>
          <w:p w:rsidR="003F5B7A" w:rsidRPr="004D4E0C" w:rsidRDefault="00647B6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Text Evaluation</w:t>
            </w:r>
          </w:p>
        </w:tc>
        <w:tc>
          <w:tcPr>
            <w:tcW w:w="3141" w:type="dxa"/>
            <w:gridSpan w:val="2"/>
          </w:tcPr>
          <w:p w:rsidR="00DF62ED" w:rsidRPr="004D4E0C" w:rsidRDefault="003F5B7A" w:rsidP="00F92ECA">
            <w:pPr>
              <w:rPr>
                <w:rFonts w:ascii="Andalus" w:hAnsi="Andalus" w:cs="Andalus"/>
                <w:sz w:val="22"/>
                <w:szCs w:val="22"/>
              </w:rPr>
            </w:pPr>
            <w:r w:rsidRPr="004D4E0C">
              <w:rPr>
                <w:rFonts w:ascii="Andalus" w:hAnsi="Andalus" w:cs="Andalus"/>
                <w:sz w:val="22"/>
                <w:szCs w:val="22"/>
              </w:rPr>
              <w:t>Group students to examine visuals, text features, assessments, margin notes, vocabulary.</w:t>
            </w:r>
          </w:p>
        </w:tc>
        <w:tc>
          <w:tcPr>
            <w:tcW w:w="3165" w:type="dxa"/>
            <w:gridSpan w:val="2"/>
          </w:tcPr>
          <w:p w:rsidR="00F92ECA" w:rsidRPr="004D4E0C" w:rsidRDefault="0024252D" w:rsidP="0024252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Read and respond in journals. </w:t>
            </w:r>
          </w:p>
        </w:tc>
        <w:tc>
          <w:tcPr>
            <w:tcW w:w="3216" w:type="dxa"/>
            <w:gridSpan w:val="2"/>
          </w:tcPr>
          <w:p w:rsidR="00DF62ED" w:rsidRPr="004D4E0C" w:rsidRDefault="00647B6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Pleasure Reading 20 minutes</w:t>
            </w:r>
          </w:p>
        </w:tc>
      </w:tr>
    </w:tbl>
    <w:p w:rsidR="009E4453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9E4453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34AC3"/>
    <w:rsid w:val="00055D79"/>
    <w:rsid w:val="000C0560"/>
    <w:rsid w:val="000E357D"/>
    <w:rsid w:val="001549C8"/>
    <w:rsid w:val="001777D9"/>
    <w:rsid w:val="001B06D3"/>
    <w:rsid w:val="0024252D"/>
    <w:rsid w:val="002A339A"/>
    <w:rsid w:val="00327E9D"/>
    <w:rsid w:val="003F2945"/>
    <w:rsid w:val="003F5B7A"/>
    <w:rsid w:val="00414824"/>
    <w:rsid w:val="004615AF"/>
    <w:rsid w:val="0048221E"/>
    <w:rsid w:val="004B7AC6"/>
    <w:rsid w:val="004D4E0C"/>
    <w:rsid w:val="00544FA6"/>
    <w:rsid w:val="005500D3"/>
    <w:rsid w:val="00560C0F"/>
    <w:rsid w:val="005A6776"/>
    <w:rsid w:val="005F20D5"/>
    <w:rsid w:val="00647B6D"/>
    <w:rsid w:val="006A446A"/>
    <w:rsid w:val="006E7D18"/>
    <w:rsid w:val="00707905"/>
    <w:rsid w:val="00712C0D"/>
    <w:rsid w:val="007271DC"/>
    <w:rsid w:val="007836C1"/>
    <w:rsid w:val="00811F70"/>
    <w:rsid w:val="0086320A"/>
    <w:rsid w:val="00864E90"/>
    <w:rsid w:val="008C3ACA"/>
    <w:rsid w:val="00913A67"/>
    <w:rsid w:val="009207B4"/>
    <w:rsid w:val="009A0590"/>
    <w:rsid w:val="009E4453"/>
    <w:rsid w:val="00A36805"/>
    <w:rsid w:val="00A648CB"/>
    <w:rsid w:val="00AD723C"/>
    <w:rsid w:val="00AF6F39"/>
    <w:rsid w:val="00B570B7"/>
    <w:rsid w:val="00B738D4"/>
    <w:rsid w:val="00BA4508"/>
    <w:rsid w:val="00C312EC"/>
    <w:rsid w:val="00CA2277"/>
    <w:rsid w:val="00D179D5"/>
    <w:rsid w:val="00D74523"/>
    <w:rsid w:val="00D77A08"/>
    <w:rsid w:val="00DA291F"/>
    <w:rsid w:val="00DF62ED"/>
    <w:rsid w:val="00E0470F"/>
    <w:rsid w:val="00E52171"/>
    <w:rsid w:val="00EA406D"/>
    <w:rsid w:val="00EE05E0"/>
    <w:rsid w:val="00F22E2C"/>
    <w:rsid w:val="00F34E48"/>
    <w:rsid w:val="00F92EC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3</cp:revision>
  <cp:lastPrinted>2012-04-17T11:40:00Z</cp:lastPrinted>
  <dcterms:created xsi:type="dcterms:W3CDTF">2016-08-25T20:37:00Z</dcterms:created>
  <dcterms:modified xsi:type="dcterms:W3CDTF">2016-08-25T20:39:00Z</dcterms:modified>
</cp:coreProperties>
</file>