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CF" w:rsidRDefault="002B3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Name</w:t>
      </w:r>
    </w:p>
    <w:p w:rsidR="00755BCF" w:rsidRDefault="002B3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East Ridge High School</w:t>
      </w:r>
    </w:p>
    <w:p w:rsidR="00755BCF" w:rsidRDefault="002B3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2017 - 2018</w:t>
      </w:r>
    </w:p>
    <w:p w:rsidR="00755BCF" w:rsidRDefault="002B3F16">
      <w:pPr>
        <w:jc w:val="center"/>
      </w:pPr>
      <w:r>
        <w:t xml:space="preserve"> </w:t>
      </w:r>
    </w:p>
    <w:p w:rsidR="00755BCF" w:rsidRDefault="002B3F16">
      <w:pPr>
        <w:rPr>
          <w:color w:val="0070C0"/>
        </w:rPr>
      </w:pPr>
      <w:r>
        <w:rPr>
          <w:b/>
          <w:u w:val="single"/>
        </w:rPr>
        <w:t>Instructor:</w:t>
      </w:r>
      <w:r>
        <w:t xml:space="preserve">  Name:  </w:t>
      </w:r>
      <w:r w:rsidR="00C57701">
        <w:rPr>
          <w:color w:val="0070C0"/>
        </w:rPr>
        <w:t>Jack Noblit</w:t>
      </w:r>
      <w:r w:rsidR="00C57701">
        <w:rPr>
          <w:color w:val="0070C0"/>
        </w:rPr>
        <w:tab/>
      </w:r>
    </w:p>
    <w:p w:rsidR="00755BCF" w:rsidRDefault="002B3F16">
      <w:pPr>
        <w:rPr>
          <w:color w:val="0070C0"/>
        </w:rPr>
      </w:pPr>
      <w:r>
        <w:t xml:space="preserve">                 </w:t>
      </w:r>
      <w:r>
        <w:tab/>
        <w:t xml:space="preserve"> </w:t>
      </w:r>
      <w:proofErr w:type="gramStart"/>
      <w:r>
        <w:t>Telephone</w:t>
      </w:r>
      <w:r w:rsidR="00C57701">
        <w:t xml:space="preserve">  (</w:t>
      </w:r>
      <w:proofErr w:type="gramEnd"/>
      <w:r w:rsidR="00C57701">
        <w:t>423) 867-6200  ext. 335</w:t>
      </w:r>
    </w:p>
    <w:p w:rsidR="00755BCF" w:rsidRDefault="002B3F16">
      <w:pPr>
        <w:rPr>
          <w:color w:val="0070C0"/>
        </w:rPr>
      </w:pPr>
      <w:r>
        <w:t xml:space="preserve">                 </w:t>
      </w:r>
      <w:r>
        <w:tab/>
        <w:t xml:space="preserve"> Email</w:t>
      </w:r>
      <w:r w:rsidR="00C57701">
        <w:t xml:space="preserve">:  </w:t>
      </w:r>
      <w:hyperlink r:id="rId4" w:history="1">
        <w:r w:rsidR="00C57701" w:rsidRPr="008B171C">
          <w:rPr>
            <w:rStyle w:val="Hyperlink"/>
          </w:rPr>
          <w:t>Noblit_J@hcde.org</w:t>
        </w:r>
      </w:hyperlink>
      <w:r w:rsidR="00C57701">
        <w:t xml:space="preserve"> *</w:t>
      </w:r>
    </w:p>
    <w:p w:rsidR="00755BCF" w:rsidRDefault="002B3F16">
      <w:pPr>
        <w:rPr>
          <w:color w:val="0070C0"/>
        </w:rPr>
      </w:pPr>
      <w:r>
        <w:t xml:space="preserve">                 </w:t>
      </w:r>
      <w:r>
        <w:tab/>
      </w:r>
      <w:r>
        <w:t xml:space="preserve">Available after school:  </w:t>
      </w:r>
      <w:r>
        <w:rPr>
          <w:color w:val="0070C0"/>
        </w:rPr>
        <w:t>by</w:t>
      </w:r>
      <w:r w:rsidR="00C57701">
        <w:rPr>
          <w:color w:val="0070C0"/>
        </w:rPr>
        <w:t xml:space="preserve"> </w:t>
      </w:r>
      <w:r>
        <w:rPr>
          <w:color w:val="0070C0"/>
        </w:rPr>
        <w:t>Appointments only.  Confirm date and time before appointment.</w:t>
      </w:r>
    </w:p>
    <w:p w:rsidR="00755BCF" w:rsidRDefault="002B3F16">
      <w:r>
        <w:t xml:space="preserve"> </w:t>
      </w:r>
    </w:p>
    <w:p w:rsidR="00755BCF" w:rsidRDefault="002B3F16">
      <w:r>
        <w:t>*Asterisk denotes</w:t>
      </w:r>
      <w:r>
        <w:t xml:space="preserve"> </w:t>
      </w:r>
      <w:proofErr w:type="gramStart"/>
      <w:r>
        <w:t>teacher’s</w:t>
      </w:r>
      <w:proofErr w:type="gramEnd"/>
      <w:r>
        <w:t xml:space="preserve"> preferred way of communication.</w:t>
      </w:r>
    </w:p>
    <w:p w:rsidR="00755BCF" w:rsidRDefault="002B3F16">
      <w:r>
        <w:t xml:space="preserve"> </w:t>
      </w:r>
    </w:p>
    <w:p w:rsidR="00755BCF" w:rsidRDefault="002B3F16">
      <w:pPr>
        <w:rPr>
          <w:b/>
          <w:u w:val="single"/>
        </w:rPr>
      </w:pPr>
      <w:r>
        <w:rPr>
          <w:b/>
          <w:u w:val="single"/>
        </w:rPr>
        <w:t>Course Description</w:t>
      </w:r>
    </w:p>
    <w:p w:rsidR="00755BCF" w:rsidRDefault="002B3F16">
      <w:r>
        <w:t xml:space="preserve"> </w:t>
      </w:r>
    </w:p>
    <w:p w:rsidR="00755BCF" w:rsidRPr="008B2BE1" w:rsidRDefault="00C57701">
      <w:pPr>
        <w:rPr>
          <w:color w:val="auto"/>
        </w:rPr>
      </w:pPr>
      <w:r w:rsidRPr="008B2BE1">
        <w:rPr>
          <w:color w:val="auto"/>
        </w:rPr>
        <w:t xml:space="preserve">Fundamentals of Construction covers the basic skills associated with construction work and the proper safety procedures to complete a project. Students will learn how to maintain a culture of safety </w:t>
      </w:r>
      <w:r w:rsidR="0080145A" w:rsidRPr="008B2BE1">
        <w:rPr>
          <w:color w:val="auto"/>
        </w:rPr>
        <w:t>consistent</w:t>
      </w:r>
      <w:r w:rsidRPr="008B2BE1">
        <w:rPr>
          <w:color w:val="auto"/>
        </w:rPr>
        <w:t xml:space="preserve"> with OSHA regulation as well as common sense. Students will learn about various tools commonly used in </w:t>
      </w:r>
      <w:proofErr w:type="gramStart"/>
      <w:r w:rsidRPr="008B2BE1">
        <w:rPr>
          <w:color w:val="auto"/>
        </w:rPr>
        <w:t>the construction industry and how to operate them safely</w:t>
      </w:r>
      <w:proofErr w:type="gramEnd"/>
      <w:r w:rsidRPr="008B2BE1">
        <w:rPr>
          <w:color w:val="auto"/>
        </w:rPr>
        <w:t xml:space="preserve">. Students will also learn about the history of construction as well as the </w:t>
      </w:r>
      <w:r w:rsidR="0080145A" w:rsidRPr="008B2BE1">
        <w:rPr>
          <w:color w:val="auto"/>
        </w:rPr>
        <w:t xml:space="preserve">direction the industry is heading, like “green” building technology. Students will also learn </w:t>
      </w:r>
      <w:proofErr w:type="gramStart"/>
      <w:r w:rsidR="0080145A" w:rsidRPr="008B2BE1">
        <w:rPr>
          <w:color w:val="auto"/>
        </w:rPr>
        <w:t>of  various</w:t>
      </w:r>
      <w:proofErr w:type="gramEnd"/>
      <w:r w:rsidR="0080145A" w:rsidRPr="008B2BE1">
        <w:rPr>
          <w:color w:val="auto"/>
        </w:rPr>
        <w:t xml:space="preserve"> employment opportunities that fall under the umbrella of the construction industry</w:t>
      </w:r>
      <w:r w:rsidR="008B2BE1">
        <w:rPr>
          <w:color w:val="auto"/>
        </w:rPr>
        <w:t>.</w:t>
      </w:r>
    </w:p>
    <w:p w:rsidR="007B68AA" w:rsidRDefault="007B68AA">
      <w:pPr>
        <w:rPr>
          <w:b/>
          <w:u w:val="single"/>
        </w:rPr>
      </w:pPr>
    </w:p>
    <w:p w:rsidR="00755BCF" w:rsidRDefault="002B3F16">
      <w:pPr>
        <w:rPr>
          <w:b/>
          <w:u w:val="single"/>
        </w:rPr>
      </w:pPr>
      <w:r>
        <w:rPr>
          <w:b/>
          <w:u w:val="single"/>
        </w:rPr>
        <w:t>C</w:t>
      </w:r>
      <w:r>
        <w:rPr>
          <w:b/>
          <w:u w:val="single"/>
        </w:rPr>
        <w:t>ourse Policies</w:t>
      </w:r>
    </w:p>
    <w:p w:rsidR="00755BCF" w:rsidRDefault="002B3F1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6F5C57" w:rsidRPr="008B2BE1" w:rsidRDefault="0080145A">
      <w:pPr>
        <w:rPr>
          <w:color w:val="auto"/>
        </w:rPr>
      </w:pPr>
      <w:r w:rsidRPr="008B2BE1">
        <w:rPr>
          <w:color w:val="auto"/>
        </w:rPr>
        <w:t xml:space="preserve">Safety will be the paramount goal of the course and class rules reflect that goal. The classroom is </w:t>
      </w:r>
      <w:r w:rsidR="008D1174" w:rsidRPr="008B2BE1">
        <w:rPr>
          <w:color w:val="auto"/>
        </w:rPr>
        <w:t>also</w:t>
      </w:r>
      <w:r w:rsidRPr="008B2BE1">
        <w:rPr>
          <w:color w:val="auto"/>
        </w:rPr>
        <w:t xml:space="preserve"> the shop</w:t>
      </w:r>
      <w:r w:rsidR="006F5C57" w:rsidRPr="008B2BE1">
        <w:rPr>
          <w:color w:val="auto"/>
        </w:rPr>
        <w:t xml:space="preserve"> so rules apply to both situations. Make-up work will </w:t>
      </w:r>
      <w:proofErr w:type="gramStart"/>
      <w:r w:rsidR="006F5C57" w:rsidRPr="008B2BE1">
        <w:rPr>
          <w:color w:val="auto"/>
        </w:rPr>
        <w:t>be granted</w:t>
      </w:r>
      <w:proofErr w:type="gramEnd"/>
      <w:r w:rsidR="006F5C57" w:rsidRPr="008B2BE1">
        <w:rPr>
          <w:color w:val="auto"/>
        </w:rPr>
        <w:t xml:space="preserve"> on the instructor’s discretion on paper work, but will not be granted for hands-on work</w:t>
      </w:r>
      <w:r w:rsidR="008B2BE1">
        <w:rPr>
          <w:color w:val="auto"/>
        </w:rPr>
        <w:t>.</w:t>
      </w:r>
    </w:p>
    <w:p w:rsidR="006F5C57" w:rsidRDefault="006F5C57">
      <w:pPr>
        <w:rPr>
          <w:color w:val="0070C0"/>
        </w:rPr>
      </w:pPr>
    </w:p>
    <w:p w:rsidR="00755BCF" w:rsidRDefault="002B3F16">
      <w:pPr>
        <w:rPr>
          <w:b/>
          <w:u w:val="single"/>
        </w:rPr>
      </w:pPr>
      <w:r>
        <w:rPr>
          <w:b/>
          <w:u w:val="single"/>
        </w:rPr>
        <w:t>Assessments and Grading</w:t>
      </w:r>
    </w:p>
    <w:p w:rsidR="00755BCF" w:rsidRDefault="002B3F1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755BCF" w:rsidRPr="008B2BE1" w:rsidRDefault="007B68AA">
      <w:pPr>
        <w:rPr>
          <w:color w:val="auto"/>
        </w:rPr>
      </w:pPr>
      <w:r w:rsidRPr="008B2BE1">
        <w:rPr>
          <w:color w:val="auto"/>
        </w:rPr>
        <w:t>Tests will be multiple choice and true/false</w:t>
      </w:r>
    </w:p>
    <w:p w:rsidR="008B2BE1" w:rsidRPr="008B2BE1" w:rsidRDefault="008B2BE1">
      <w:pPr>
        <w:rPr>
          <w:color w:val="auto"/>
        </w:rPr>
      </w:pPr>
      <w:r w:rsidRPr="008B2BE1">
        <w:rPr>
          <w:color w:val="auto"/>
        </w:rPr>
        <w:t xml:space="preserve">Daily grades will </w:t>
      </w:r>
      <w:proofErr w:type="spellStart"/>
      <w:r w:rsidRPr="008B2BE1">
        <w:rPr>
          <w:color w:val="auto"/>
        </w:rPr>
        <w:t>given</w:t>
      </w:r>
      <w:proofErr w:type="spellEnd"/>
      <w:r w:rsidRPr="008B2BE1">
        <w:rPr>
          <w:color w:val="auto"/>
        </w:rPr>
        <w:t xml:space="preserve"> on hands-on work days based on participation</w:t>
      </w:r>
    </w:p>
    <w:p w:rsidR="008B2BE1" w:rsidRDefault="008B2BE1">
      <w:r>
        <w:t xml:space="preserve">A </w:t>
      </w:r>
      <w:proofErr w:type="gramStart"/>
      <w:r>
        <w:t>2 page</w:t>
      </w:r>
      <w:proofErr w:type="gramEnd"/>
      <w:r>
        <w:t xml:space="preserve"> research paper on the history of pluming innovations </w:t>
      </w:r>
    </w:p>
    <w:p w:rsidR="008B2BE1" w:rsidRDefault="008B2BE1"/>
    <w:p w:rsidR="00755BCF" w:rsidRDefault="002B3F16">
      <w:r>
        <w:t xml:space="preserve">Your grade </w:t>
      </w:r>
      <w:proofErr w:type="gramStart"/>
      <w:r>
        <w:t>will be calculated</w:t>
      </w:r>
      <w:proofErr w:type="gramEnd"/>
      <w:r>
        <w:t xml:space="preserve"> as shown below:</w:t>
      </w:r>
    </w:p>
    <w:p w:rsidR="00755BCF" w:rsidRDefault="002B3F16">
      <w:r>
        <w:t xml:space="preserve"> </w:t>
      </w:r>
    </w:p>
    <w:p w:rsidR="00755BCF" w:rsidRDefault="002B3F16">
      <w:bookmarkStart w:id="0" w:name="_GoBack"/>
      <w:r>
        <w:t>Grading formula for each 9-week’s grade:</w:t>
      </w:r>
    </w:p>
    <w:p w:rsidR="00755BCF" w:rsidRDefault="002B3F16">
      <w:r>
        <w:rPr>
          <w:color w:val="0070C0"/>
        </w:rPr>
        <w:t>·</w:t>
      </w:r>
      <w:r>
        <w:rPr>
          <w:rFonts w:ascii="Times New Roman" w:eastAsia="Times New Roman" w:hAnsi="Times New Roman" w:cs="Times New Roman"/>
          <w:color w:val="0070C0"/>
          <w:sz w:val="14"/>
          <w:szCs w:val="14"/>
        </w:rPr>
        <w:t xml:space="preserve">         </w:t>
      </w:r>
      <w:r>
        <w:t>Teaching tas</w:t>
      </w:r>
      <w:r w:rsidR="008B2BE1">
        <w:t>ks other than tests</w:t>
      </w:r>
      <w:r w:rsidR="008B2BE1">
        <w:tab/>
        <w:t xml:space="preserve">        </w:t>
      </w:r>
      <w:r w:rsidR="008B2BE1">
        <w:tab/>
        <w:t>60%</w:t>
      </w:r>
    </w:p>
    <w:p w:rsidR="008B2BE1" w:rsidRDefault="008B2BE1" w:rsidP="008B2BE1">
      <w:pPr>
        <w:ind w:firstLine="720"/>
      </w:pPr>
      <w:r>
        <w:t>Daily assignments and measuring assignments</w:t>
      </w:r>
    </w:p>
    <w:p w:rsidR="008B2BE1" w:rsidRPr="008B2BE1" w:rsidRDefault="002B3F16">
      <w:pPr>
        <w:rPr>
          <w:rFonts w:ascii="Times New Roman" w:eastAsia="Times New Roman" w:hAnsi="Times New Roman" w:cs="Times New Roman"/>
          <w:color w:val="auto"/>
          <w:sz w:val="14"/>
          <w:szCs w:val="14"/>
        </w:rPr>
      </w:pPr>
      <w:r w:rsidRPr="008B2BE1">
        <w:rPr>
          <w:color w:val="auto"/>
        </w:rPr>
        <w:t>·</w:t>
      </w:r>
      <w:r w:rsidR="008B2BE1" w:rsidRPr="008B2BE1">
        <w:rPr>
          <w:color w:val="auto"/>
        </w:rPr>
        <w:t xml:space="preserve">Research paper </w:t>
      </w:r>
      <w:r>
        <w:rPr>
          <w:color w:val="auto"/>
        </w:rPr>
        <w:t>(2</w:t>
      </w:r>
      <w:r w:rsidRPr="002B3F16">
        <w:rPr>
          <w:color w:val="auto"/>
          <w:vertAlign w:val="superscript"/>
        </w:rPr>
        <w:t>nd</w:t>
      </w:r>
      <w:r>
        <w:rPr>
          <w:color w:val="auto"/>
        </w:rPr>
        <w:t xml:space="preserve"> 9 weeks only)</w:t>
      </w:r>
      <w:r w:rsidR="008B2BE1" w:rsidRPr="008B2BE1">
        <w:rPr>
          <w:color w:val="auto"/>
        </w:rPr>
        <w:t xml:space="preserve">        </w:t>
      </w:r>
      <w:r>
        <w:rPr>
          <w:color w:val="auto"/>
        </w:rPr>
        <w:t xml:space="preserve">     </w:t>
      </w:r>
      <w:r w:rsidR="008B2BE1" w:rsidRPr="008B2BE1">
        <w:rPr>
          <w:color w:val="auto"/>
        </w:rPr>
        <w:t xml:space="preserve"> 20%</w:t>
      </w:r>
      <w:r w:rsidRPr="008B2BE1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        </w:t>
      </w:r>
    </w:p>
    <w:p w:rsidR="00755BCF" w:rsidRDefault="008B2BE1" w:rsidP="008B2BE1">
      <w:r>
        <w:t xml:space="preserve"> </w:t>
      </w:r>
      <w:r w:rsidR="002B3F16">
        <w:t xml:space="preserve">Assessments and </w:t>
      </w:r>
      <w:r>
        <w:t xml:space="preserve">Tests              </w:t>
      </w:r>
      <w:r>
        <w:tab/>
        <w:t xml:space="preserve">        </w:t>
      </w:r>
      <w:r>
        <w:tab/>
        <w:t>20%</w:t>
      </w:r>
      <w:bookmarkEnd w:id="0"/>
    </w:p>
    <w:p w:rsidR="008B2BE1" w:rsidRDefault="008B2BE1" w:rsidP="008B2BE1">
      <w:pPr>
        <w:ind w:firstLine="720"/>
      </w:pPr>
    </w:p>
    <w:p w:rsidR="00755BCF" w:rsidRDefault="002B3F16">
      <w:r>
        <w:rPr>
          <w:b/>
        </w:rPr>
        <w:t xml:space="preserve">Grade Calculations for high school courses without a state-level test:          </w:t>
      </w:r>
      <w:r>
        <w:rPr>
          <w:b/>
        </w:rPr>
        <w:tab/>
      </w:r>
      <w:r>
        <w:t xml:space="preserve">        </w:t>
      </w:r>
      <w:r>
        <w:tab/>
      </w:r>
    </w:p>
    <w:p w:rsidR="00755BCF" w:rsidRDefault="002B3F16">
      <w: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1</w:t>
      </w:r>
      <w:r>
        <w:rPr>
          <w:vertAlign w:val="superscript"/>
        </w:rPr>
        <w:t>s</w:t>
      </w:r>
      <w:r>
        <w:rPr>
          <w:vertAlign w:val="superscript"/>
        </w:rPr>
        <w:t>t</w:t>
      </w:r>
      <w:r>
        <w:t xml:space="preserve"> Nine Weeks – 40%</w:t>
      </w:r>
    </w:p>
    <w:p w:rsidR="00755BCF" w:rsidRDefault="002B3F16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2</w:t>
      </w:r>
      <w:r>
        <w:rPr>
          <w:vertAlign w:val="superscript"/>
        </w:rPr>
        <w:t>nd</w:t>
      </w:r>
      <w:r>
        <w:t xml:space="preserve"> Nine Weeks – 40%</w:t>
      </w:r>
    </w:p>
    <w:p w:rsidR="00755BCF" w:rsidRDefault="002B3F16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Exam – 20%</w:t>
      </w:r>
    </w:p>
    <w:p w:rsidR="00755BCF" w:rsidRDefault="002B3F16">
      <w:pPr>
        <w:rPr>
          <w:color w:val="0070C0"/>
        </w:rPr>
      </w:pPr>
      <w:r>
        <w:rPr>
          <w:color w:val="0070C0"/>
        </w:rPr>
        <w:t xml:space="preserve"> </w:t>
      </w:r>
    </w:p>
    <w:p w:rsidR="00755BCF" w:rsidRDefault="00755BCF">
      <w:pPr>
        <w:rPr>
          <w:color w:val="0070C0"/>
        </w:rPr>
      </w:pPr>
    </w:p>
    <w:p w:rsidR="00755BCF" w:rsidRDefault="002B3F16">
      <w:r>
        <w:t>.</w:t>
      </w:r>
    </w:p>
    <w:p w:rsidR="00755BCF" w:rsidRDefault="002B3F16">
      <w:r>
        <w:t xml:space="preserve"> </w:t>
      </w:r>
    </w:p>
    <w:p w:rsidR="00755BCF" w:rsidRDefault="002B3F16">
      <w:r>
        <w:t xml:space="preserve"> </w:t>
      </w:r>
    </w:p>
    <w:p w:rsidR="00755BCF" w:rsidRDefault="002B3F16">
      <w:pPr>
        <w:rPr>
          <w:b/>
          <w:u w:val="single"/>
        </w:rPr>
      </w:pPr>
      <w:r>
        <w:rPr>
          <w:b/>
          <w:u w:val="single"/>
        </w:rPr>
        <w:t>Course Topics and Schedule by Semester</w:t>
      </w:r>
    </w:p>
    <w:p w:rsidR="00755BCF" w:rsidRDefault="002B3F1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755BCF" w:rsidRDefault="002B3F16">
      <w:r>
        <w:t xml:space="preserve"> </w:t>
      </w:r>
    </w:p>
    <w:tbl>
      <w:tblPr>
        <w:tblStyle w:val="a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2100"/>
        <w:gridCol w:w="4110"/>
        <w:gridCol w:w="1575"/>
      </w:tblGrid>
      <w:tr w:rsidR="00755BC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pPr>
              <w:rPr>
                <w:b/>
              </w:rPr>
            </w:pPr>
            <w:r>
              <w:rPr>
                <w:b/>
              </w:rPr>
              <w:t>Semester 1</w:t>
            </w:r>
          </w:p>
        </w:tc>
        <w:tc>
          <w:tcPr>
            <w:tcW w:w="4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pPr>
              <w:rPr>
                <w:b/>
              </w:rPr>
            </w:pPr>
            <w:proofErr w:type="spellStart"/>
            <w:r>
              <w:rPr>
                <w:b/>
              </w:rPr>
              <w:t>UbD</w:t>
            </w:r>
            <w:proofErr w:type="spellEnd"/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1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  <w:r w:rsidR="00D0243A">
              <w:t xml:space="preserve">Safety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  <w:r w:rsidR="00D0243A">
              <w:t>1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2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3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4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  <w:r w:rsidR="00D0243A" w:rsidRPr="00D0243A">
              <w:t>Tools and equipment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  <w:r w:rsidR="00D0243A">
              <w:t>2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5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 w:rsidP="00D0243A">
            <w: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6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7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  <w:r w:rsidR="00D0243A" w:rsidRPr="00D0243A">
              <w:t>Intro to measurements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8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  <w:r w:rsidR="00D0243A" w:rsidRPr="00D0243A">
              <w:t>Math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9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(End of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quarter)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pPr>
              <w:rPr>
                <w:b/>
              </w:rPr>
            </w:pPr>
            <w:r>
              <w:rPr>
                <w:b/>
              </w:rPr>
              <w:t>Fall Break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10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 w:rsidP="00D0243A">
            <w:r>
              <w:t xml:space="preserve"> </w:t>
            </w:r>
            <w:r w:rsidR="00D0243A" w:rsidRPr="00D0243A">
              <w:t>Building systems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11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 w:rsidP="00D0243A">
            <w:r>
              <w:t xml:space="preserve"> </w:t>
            </w:r>
            <w:r w:rsidR="00D0243A" w:rsidRPr="00D0243A">
              <w:t>Construction drawings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12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D0243A">
            <w:r w:rsidRPr="00D0243A">
              <w:t>Intro to industry, Career exploration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13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 w:rsidP="00D0243A">
            <w:r>
              <w:t xml:space="preserve"> </w:t>
            </w:r>
            <w:r w:rsidR="00D0243A" w:rsidRPr="00D0243A">
              <w:t>History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14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D0243A">
            <w:r>
              <w:t>Work projects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15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(Thanksgiving)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16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755BCF"/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lastRenderedPageBreak/>
              <w:t>17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 w:rsidP="00D0243A">
            <w:r>
              <w:t xml:space="preserve"> </w:t>
            </w:r>
            <w:r w:rsidR="00D0243A">
              <w:t>Research paper due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  <w:r w:rsidR="006376B6">
              <w:t>12/15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18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(End of Semester 1)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</w:tbl>
    <w:p w:rsidR="00755BCF" w:rsidRDefault="002B3F16">
      <w:r>
        <w:t xml:space="preserve"> </w:t>
      </w:r>
    </w:p>
    <w:tbl>
      <w:tblPr>
        <w:tblStyle w:val="a0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905"/>
        <w:gridCol w:w="4275"/>
        <w:gridCol w:w="1605"/>
      </w:tblGrid>
      <w:tr w:rsidR="00755BCF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pPr>
              <w:rPr>
                <w:b/>
              </w:rPr>
            </w:pPr>
            <w:r>
              <w:rPr>
                <w:b/>
              </w:rPr>
              <w:t>Semester 2</w:t>
            </w:r>
          </w:p>
        </w:tc>
        <w:tc>
          <w:tcPr>
            <w:tcW w:w="4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pPr>
              <w:rPr>
                <w:b/>
              </w:rPr>
            </w:pPr>
            <w:proofErr w:type="spellStart"/>
            <w:r>
              <w:rPr>
                <w:b/>
              </w:rPr>
              <w:t>UbD</w:t>
            </w:r>
            <w:proofErr w:type="spellEnd"/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1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  <w:r w:rsidR="006376B6" w:rsidRPr="006376B6">
              <w:t>Safety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2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3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4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  <w:r w:rsidR="006376B6" w:rsidRPr="006376B6">
              <w:t>Tools and equipment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5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6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7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  <w:r w:rsidR="006376B6" w:rsidRPr="006376B6">
              <w:t>Intro to measurements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8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  <w:r w:rsidR="006376B6">
              <w:t>Math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9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10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  <w:r w:rsidR="006376B6">
              <w:t>Building systems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11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(End of 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quarter)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  <w:r w:rsidR="006376B6" w:rsidRPr="006376B6">
              <w:t>Construction drawings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pPr>
              <w:rPr>
                <w:b/>
              </w:rPr>
            </w:pPr>
            <w:r>
              <w:rPr>
                <w:b/>
              </w:rPr>
              <w:t>Spring Break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12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  <w:r w:rsidR="006376B6" w:rsidRPr="006376B6">
              <w:t>Intro to industry, Career exploration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13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376B6" w:rsidRPr="006376B6">
              <w:rPr>
                <w:b/>
              </w:rPr>
              <w:t>History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14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  <w:r w:rsidR="006376B6" w:rsidRPr="006376B6">
              <w:t>Work projects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15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16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17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  <w:r w:rsidR="006376B6" w:rsidRPr="006376B6">
              <w:t xml:space="preserve"> Research paper due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18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lastRenderedPageBreak/>
              <w:t>19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>20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pPr>
              <w:rPr>
                <w:b/>
              </w:rPr>
            </w:pPr>
            <w:r>
              <w:rPr>
                <w:b/>
              </w:rPr>
              <w:t>May 22-26 (End of 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quarter)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  <w:tr w:rsidR="00755BCF"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BCF" w:rsidRDefault="002B3F16">
            <w:r>
              <w:t xml:space="preserve"> </w:t>
            </w:r>
          </w:p>
        </w:tc>
      </w:tr>
    </w:tbl>
    <w:p w:rsidR="00755BCF" w:rsidRDefault="002B3F16">
      <w:r>
        <w:t xml:space="preserve"> </w:t>
      </w:r>
    </w:p>
    <w:sectPr w:rsidR="00755BC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CF"/>
    <w:rsid w:val="002B3F16"/>
    <w:rsid w:val="006376B6"/>
    <w:rsid w:val="006F5C57"/>
    <w:rsid w:val="00755BCF"/>
    <w:rsid w:val="007B68AA"/>
    <w:rsid w:val="0080145A"/>
    <w:rsid w:val="008B2BE1"/>
    <w:rsid w:val="008D1174"/>
    <w:rsid w:val="00AB0702"/>
    <w:rsid w:val="00C57701"/>
    <w:rsid w:val="00D0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21BB"/>
  <w15:docId w15:val="{A041575E-26DC-42C8-B716-2E264FA2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57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blit_J@hc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Noblit Jack</dc:creator>
  <cp:lastModifiedBy>Noblit Jack</cp:lastModifiedBy>
  <cp:revision>4</cp:revision>
  <dcterms:created xsi:type="dcterms:W3CDTF">2017-08-22T16:02:00Z</dcterms:created>
  <dcterms:modified xsi:type="dcterms:W3CDTF">2017-08-23T14:08:00Z</dcterms:modified>
</cp:coreProperties>
</file>