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865" w:rsidRDefault="00715ED3">
      <w:pPr>
        <w:jc w:val="center"/>
        <w:rPr>
          <w:b/>
          <w:sz w:val="28"/>
          <w:szCs w:val="28"/>
        </w:rPr>
      </w:pPr>
      <w:r>
        <w:rPr>
          <w:b/>
          <w:sz w:val="28"/>
          <w:szCs w:val="28"/>
        </w:rPr>
        <w:t>Course Name</w:t>
      </w:r>
    </w:p>
    <w:p w:rsidR="002E5865" w:rsidRDefault="00715ED3">
      <w:pPr>
        <w:jc w:val="center"/>
        <w:rPr>
          <w:b/>
          <w:sz w:val="28"/>
          <w:szCs w:val="28"/>
        </w:rPr>
      </w:pPr>
      <w:r>
        <w:rPr>
          <w:b/>
          <w:sz w:val="28"/>
          <w:szCs w:val="28"/>
        </w:rPr>
        <w:t>East Ridge High School</w:t>
      </w:r>
    </w:p>
    <w:p w:rsidR="002E5865" w:rsidRDefault="00715ED3">
      <w:pPr>
        <w:jc w:val="center"/>
        <w:rPr>
          <w:b/>
          <w:sz w:val="28"/>
          <w:szCs w:val="28"/>
        </w:rPr>
      </w:pPr>
      <w:r>
        <w:rPr>
          <w:b/>
          <w:sz w:val="28"/>
          <w:szCs w:val="28"/>
        </w:rPr>
        <w:t>2017 - 2018</w:t>
      </w:r>
    </w:p>
    <w:p w:rsidR="002E5865" w:rsidRDefault="00715ED3">
      <w:pPr>
        <w:jc w:val="center"/>
      </w:pPr>
      <w:r>
        <w:t xml:space="preserve"> </w:t>
      </w:r>
    </w:p>
    <w:p w:rsidR="00002607" w:rsidRPr="00002607" w:rsidRDefault="00002607" w:rsidP="00002607">
      <w:r w:rsidRPr="00002607">
        <w:rPr>
          <w:b/>
          <w:u w:val="single"/>
        </w:rPr>
        <w:t>Instructor</w:t>
      </w:r>
      <w:r w:rsidRPr="00002607">
        <w:t>:  Name:  Jack Noblit</w:t>
      </w:r>
      <w:r w:rsidRPr="00002607">
        <w:tab/>
      </w:r>
    </w:p>
    <w:p w:rsidR="00002607" w:rsidRPr="00002607" w:rsidRDefault="00002607" w:rsidP="00002607">
      <w:r w:rsidRPr="00002607">
        <w:t xml:space="preserve">                 </w:t>
      </w:r>
      <w:r w:rsidRPr="00002607">
        <w:tab/>
        <w:t xml:space="preserve"> </w:t>
      </w:r>
      <w:proofErr w:type="gramStart"/>
      <w:r w:rsidRPr="00002607">
        <w:t>Telephone  (</w:t>
      </w:r>
      <w:proofErr w:type="gramEnd"/>
      <w:r w:rsidRPr="00002607">
        <w:t>423) 867-6200  ext. 335</w:t>
      </w:r>
    </w:p>
    <w:p w:rsidR="00002607" w:rsidRPr="00002607" w:rsidRDefault="00002607" w:rsidP="00002607">
      <w:r w:rsidRPr="00002607">
        <w:t xml:space="preserve">                 </w:t>
      </w:r>
      <w:r w:rsidRPr="00002607">
        <w:tab/>
        <w:t xml:space="preserve"> Email:  Noblit_J@hcde.org *</w:t>
      </w:r>
    </w:p>
    <w:p w:rsidR="00002607" w:rsidRPr="00002607" w:rsidRDefault="00002607" w:rsidP="00002607">
      <w:r w:rsidRPr="00002607">
        <w:t xml:space="preserve">                 </w:t>
      </w:r>
      <w:r w:rsidRPr="00002607">
        <w:tab/>
        <w:t>Available after school:  by Appointments only.  Confirm date and time before appointment.</w:t>
      </w:r>
    </w:p>
    <w:p w:rsidR="00002607" w:rsidRPr="00002607" w:rsidRDefault="00002607" w:rsidP="00002607">
      <w:r w:rsidRPr="00002607">
        <w:t xml:space="preserve"> </w:t>
      </w:r>
    </w:p>
    <w:p w:rsidR="002E5865" w:rsidRPr="00002607" w:rsidRDefault="00002607" w:rsidP="00002607">
      <w:r w:rsidRPr="00002607">
        <w:t xml:space="preserve">*Asterisk denotes </w:t>
      </w:r>
      <w:proofErr w:type="gramStart"/>
      <w:r w:rsidRPr="00002607">
        <w:t>teacher’s</w:t>
      </w:r>
      <w:proofErr w:type="gramEnd"/>
      <w:r w:rsidRPr="00002607">
        <w:t xml:space="preserve"> preferred way of communication.</w:t>
      </w:r>
    </w:p>
    <w:p w:rsidR="002E5865" w:rsidRDefault="00715ED3">
      <w:r>
        <w:t xml:space="preserve"> </w:t>
      </w:r>
    </w:p>
    <w:p w:rsidR="002E5865" w:rsidRDefault="00715ED3">
      <w:pPr>
        <w:rPr>
          <w:b/>
          <w:u w:val="single"/>
        </w:rPr>
      </w:pPr>
      <w:r>
        <w:rPr>
          <w:b/>
          <w:u w:val="single"/>
        </w:rPr>
        <w:t>Course Description</w:t>
      </w:r>
    </w:p>
    <w:p w:rsidR="002E5865" w:rsidRDefault="00002607" w:rsidP="00002607">
      <w:r>
        <w:t>Plumbing Systems prepares students for careers in plumbing across a variety of residential and commercial settings. Upon completion of this course, proficient students will be able to implement safety procedures and tools to perform operations with plumbing systems. Students will be able to explain how drain, waste, and vent (DWV) systems, water distribution systems, and plumbing fixtures work and apply proper tools and procedures to perform operations with plumbing piping, including measuring, cutting, joining, supporting, and hanging various types of pipe. Students will read and interpret drawings, specifications, and diagrams to determine materials needed to complete a plumbing project. Standards in this course also i</w:t>
      </w:r>
      <w:r>
        <w:t xml:space="preserve">ntroduce basic maintenance and </w:t>
      </w:r>
      <w:r>
        <w:t xml:space="preserve">troubleshooting procedures and expand on principles of the construction industry, delving deeper into business and project management. Students will continue compiling artifacts for inclusion in their portfolios, which they will carry with them throughout the full sequence of courses in this program of study. </w:t>
      </w:r>
      <w:r w:rsidR="00715ED3">
        <w:t xml:space="preserve"> </w:t>
      </w:r>
    </w:p>
    <w:p w:rsidR="002E5865" w:rsidRDefault="002E5865"/>
    <w:p w:rsidR="002E5865" w:rsidRDefault="00715ED3">
      <w:pPr>
        <w:rPr>
          <w:b/>
          <w:u w:val="single"/>
        </w:rPr>
      </w:pPr>
      <w:r>
        <w:rPr>
          <w:b/>
          <w:u w:val="single"/>
        </w:rPr>
        <w:t>C</w:t>
      </w:r>
      <w:r>
        <w:rPr>
          <w:b/>
          <w:u w:val="single"/>
        </w:rPr>
        <w:t>ourse Policies</w:t>
      </w:r>
    </w:p>
    <w:p w:rsidR="002E5865" w:rsidRDefault="00715ED3">
      <w:pPr>
        <w:rPr>
          <w:b/>
          <w:u w:val="single"/>
        </w:rPr>
      </w:pPr>
      <w:r>
        <w:rPr>
          <w:b/>
          <w:u w:val="single"/>
        </w:rPr>
        <w:t xml:space="preserve"> </w:t>
      </w:r>
    </w:p>
    <w:p w:rsidR="002E5865" w:rsidRPr="00002607" w:rsidRDefault="00002607">
      <w:pPr>
        <w:rPr>
          <w:color w:val="auto"/>
        </w:rPr>
      </w:pPr>
      <w:r w:rsidRPr="00002607">
        <w:rPr>
          <w:color w:val="auto"/>
        </w:rPr>
        <w:t xml:space="preserve">Safety will be the paramount goal of the course and class rules reflect that goal. The classroom is also the shop so rules apply to both situations. Make-up work will </w:t>
      </w:r>
      <w:proofErr w:type="gramStart"/>
      <w:r w:rsidRPr="00002607">
        <w:rPr>
          <w:color w:val="auto"/>
        </w:rPr>
        <w:t>be granted</w:t>
      </w:r>
      <w:proofErr w:type="gramEnd"/>
      <w:r w:rsidRPr="00002607">
        <w:rPr>
          <w:color w:val="auto"/>
        </w:rPr>
        <w:t xml:space="preserve"> on the instructor’s discretion on paper work, but will not be granted for hands-on work.</w:t>
      </w:r>
      <w:r w:rsidR="00715ED3" w:rsidRPr="00002607">
        <w:rPr>
          <w:color w:val="auto"/>
        </w:rPr>
        <w:t xml:space="preserve"> </w:t>
      </w:r>
    </w:p>
    <w:p w:rsidR="00BB464B" w:rsidRDefault="00BB464B">
      <w:pPr>
        <w:rPr>
          <w:b/>
          <w:u w:val="single"/>
        </w:rPr>
      </w:pPr>
    </w:p>
    <w:p w:rsidR="002E5865" w:rsidRDefault="00715ED3">
      <w:pPr>
        <w:rPr>
          <w:b/>
          <w:u w:val="single"/>
        </w:rPr>
      </w:pPr>
      <w:r>
        <w:rPr>
          <w:b/>
          <w:u w:val="single"/>
        </w:rPr>
        <w:t>Assessments and Grading</w:t>
      </w:r>
    </w:p>
    <w:p w:rsidR="00BB464B" w:rsidRPr="00BB464B" w:rsidRDefault="00715ED3" w:rsidP="00BB464B">
      <w:r>
        <w:rPr>
          <w:b/>
          <w:u w:val="single"/>
        </w:rPr>
        <w:t xml:space="preserve"> </w:t>
      </w:r>
      <w:r w:rsidR="00BB464B" w:rsidRPr="00BB464B">
        <w:t>Tests will be multiple choice and true/false</w:t>
      </w:r>
    </w:p>
    <w:p w:rsidR="00BB464B" w:rsidRPr="00BB464B" w:rsidRDefault="00BB464B" w:rsidP="00BB464B">
      <w:r w:rsidRPr="00BB464B">
        <w:t xml:space="preserve">Daily grades will </w:t>
      </w:r>
      <w:proofErr w:type="spellStart"/>
      <w:r w:rsidRPr="00BB464B">
        <w:t>given</w:t>
      </w:r>
      <w:proofErr w:type="spellEnd"/>
      <w:r w:rsidRPr="00BB464B">
        <w:t xml:space="preserve"> on hands-on work days based on participation</w:t>
      </w:r>
    </w:p>
    <w:p w:rsidR="00BB464B" w:rsidRPr="00BB464B" w:rsidRDefault="00BB464B" w:rsidP="00BB464B">
      <w:r w:rsidRPr="00BB464B">
        <w:t xml:space="preserve">A </w:t>
      </w:r>
      <w:proofErr w:type="gramStart"/>
      <w:r w:rsidRPr="00BB464B">
        <w:t>2 page</w:t>
      </w:r>
      <w:proofErr w:type="gramEnd"/>
      <w:r w:rsidRPr="00BB464B">
        <w:t xml:space="preserve"> research paper on the history of pluming innovations </w:t>
      </w:r>
    </w:p>
    <w:p w:rsidR="00BB464B" w:rsidRPr="00BB464B" w:rsidRDefault="00BB464B" w:rsidP="00BB464B"/>
    <w:p w:rsidR="00BB464B" w:rsidRPr="00BB464B" w:rsidRDefault="00BB464B" w:rsidP="00BB464B">
      <w:r w:rsidRPr="00BB464B">
        <w:rPr>
          <w:b/>
        </w:rPr>
        <w:t xml:space="preserve">Your grade </w:t>
      </w:r>
      <w:proofErr w:type="gramStart"/>
      <w:r w:rsidRPr="00BB464B">
        <w:rPr>
          <w:b/>
        </w:rPr>
        <w:t>will be calculated</w:t>
      </w:r>
      <w:proofErr w:type="gramEnd"/>
      <w:r w:rsidRPr="00BB464B">
        <w:rPr>
          <w:b/>
        </w:rPr>
        <w:t xml:space="preserve"> as shown below</w:t>
      </w:r>
      <w:r w:rsidRPr="00BB464B">
        <w:t>:</w:t>
      </w:r>
    </w:p>
    <w:p w:rsidR="00BB464B" w:rsidRPr="00BB464B" w:rsidRDefault="00BB464B" w:rsidP="00BB464B">
      <w:r>
        <w:t xml:space="preserve"> </w:t>
      </w:r>
      <w:r w:rsidRPr="00BB464B">
        <w:t>Grading formula for each 9-week’s grade:</w:t>
      </w:r>
    </w:p>
    <w:p w:rsidR="00BB464B" w:rsidRPr="00BB464B" w:rsidRDefault="00BB464B" w:rsidP="00BB464B">
      <w:r w:rsidRPr="00BB464B">
        <w:t>·         Teaching tasks other than tests</w:t>
      </w:r>
      <w:r w:rsidRPr="00BB464B">
        <w:tab/>
        <w:t xml:space="preserve">        </w:t>
      </w:r>
      <w:r w:rsidRPr="00BB464B">
        <w:tab/>
        <w:t>60%</w:t>
      </w:r>
    </w:p>
    <w:p w:rsidR="00BB464B" w:rsidRPr="00BB464B" w:rsidRDefault="00BB464B" w:rsidP="00BB464B">
      <w:r w:rsidRPr="00BB464B">
        <w:t>Daily assignments and measuring assignments</w:t>
      </w:r>
    </w:p>
    <w:p w:rsidR="00BB464B" w:rsidRPr="00BB464B" w:rsidRDefault="00BB464B" w:rsidP="00BB464B">
      <w:r>
        <w:t xml:space="preserve">Project design and build (2nd 9 weeks only)            </w:t>
      </w:r>
      <w:r w:rsidRPr="00BB464B">
        <w:t xml:space="preserve"> 20%         </w:t>
      </w:r>
    </w:p>
    <w:p w:rsidR="002E5865" w:rsidRPr="00BB464B" w:rsidRDefault="00BB464B" w:rsidP="00BB464B">
      <w:r w:rsidRPr="00BB464B">
        <w:t xml:space="preserve"> Assessments and Tests              </w:t>
      </w:r>
      <w:r w:rsidRPr="00BB464B">
        <w:tab/>
        <w:t xml:space="preserve">        </w:t>
      </w:r>
      <w:r w:rsidRPr="00BB464B">
        <w:tab/>
      </w:r>
      <w:r>
        <w:t xml:space="preserve">            </w:t>
      </w:r>
      <w:r w:rsidRPr="00BB464B">
        <w:t>20%</w:t>
      </w:r>
    </w:p>
    <w:p w:rsidR="002E5865" w:rsidRDefault="00715ED3">
      <w:r>
        <w:rPr>
          <w:b/>
        </w:rPr>
        <w:lastRenderedPageBreak/>
        <w:t xml:space="preserve">Grade Calculations for high school courses without a state-level test:          </w:t>
      </w:r>
      <w:r>
        <w:rPr>
          <w:b/>
        </w:rPr>
        <w:tab/>
      </w:r>
      <w:r>
        <w:t xml:space="preserve">        </w:t>
      </w:r>
      <w:r>
        <w:tab/>
      </w:r>
    </w:p>
    <w:p w:rsidR="002E5865" w:rsidRDefault="00715ED3">
      <w:r>
        <w:t>·</w:t>
      </w:r>
      <w:r>
        <w:rPr>
          <w:rFonts w:ascii="Times New Roman" w:eastAsia="Times New Roman" w:hAnsi="Times New Roman" w:cs="Times New Roman"/>
          <w:sz w:val="14"/>
          <w:szCs w:val="14"/>
        </w:rPr>
        <w:t xml:space="preserve">         </w:t>
      </w:r>
      <w:r>
        <w:t>1</w:t>
      </w:r>
      <w:r>
        <w:rPr>
          <w:vertAlign w:val="superscript"/>
        </w:rPr>
        <w:t>s</w:t>
      </w:r>
      <w:r>
        <w:rPr>
          <w:vertAlign w:val="superscript"/>
        </w:rPr>
        <w:t>t</w:t>
      </w:r>
      <w:r>
        <w:t xml:space="preserve"> Nine Weeks – 40%</w:t>
      </w:r>
    </w:p>
    <w:p w:rsidR="002E5865" w:rsidRDefault="00715ED3">
      <w:r>
        <w:t>·</w:t>
      </w:r>
      <w:r>
        <w:rPr>
          <w:rFonts w:ascii="Times New Roman" w:eastAsia="Times New Roman" w:hAnsi="Times New Roman" w:cs="Times New Roman"/>
          <w:sz w:val="14"/>
          <w:szCs w:val="14"/>
        </w:rPr>
        <w:t xml:space="preserve">         </w:t>
      </w:r>
      <w:r>
        <w:t>2</w:t>
      </w:r>
      <w:r>
        <w:rPr>
          <w:vertAlign w:val="superscript"/>
        </w:rPr>
        <w:t>nd</w:t>
      </w:r>
      <w:r>
        <w:t xml:space="preserve"> Nine Weeks – 40%</w:t>
      </w:r>
    </w:p>
    <w:p w:rsidR="002E5865" w:rsidRDefault="00715ED3">
      <w:r>
        <w:t>·</w:t>
      </w:r>
      <w:r>
        <w:rPr>
          <w:rFonts w:ascii="Times New Roman" w:eastAsia="Times New Roman" w:hAnsi="Times New Roman" w:cs="Times New Roman"/>
          <w:sz w:val="14"/>
          <w:szCs w:val="14"/>
        </w:rPr>
        <w:t xml:space="preserve">         </w:t>
      </w:r>
      <w:r>
        <w:t>Exam – 20%</w:t>
      </w:r>
    </w:p>
    <w:p w:rsidR="002E5865" w:rsidRDefault="00715ED3">
      <w:pPr>
        <w:rPr>
          <w:color w:val="0070C0"/>
        </w:rPr>
      </w:pPr>
      <w:r>
        <w:rPr>
          <w:color w:val="0070C0"/>
        </w:rPr>
        <w:t xml:space="preserve"> </w:t>
      </w:r>
    </w:p>
    <w:p w:rsidR="002E5865" w:rsidRDefault="002E5865"/>
    <w:p w:rsidR="002E5865" w:rsidRPr="00BB464B" w:rsidRDefault="00715ED3">
      <w:r>
        <w:t xml:space="preserve"> </w:t>
      </w:r>
      <w:r>
        <w:rPr>
          <w:b/>
          <w:u w:val="single"/>
        </w:rPr>
        <w:t>Course Topics and Schedule by Semester</w:t>
      </w:r>
    </w:p>
    <w:p w:rsidR="002E5865" w:rsidRDefault="00715ED3">
      <w:pPr>
        <w:rPr>
          <w:b/>
          <w:u w:val="single"/>
        </w:rPr>
      </w:pPr>
      <w:r>
        <w:rPr>
          <w:b/>
          <w:u w:val="single"/>
        </w:rPr>
        <w:t xml:space="preserve"> </w:t>
      </w:r>
    </w:p>
    <w:p w:rsidR="002E5865" w:rsidRDefault="00715ED3">
      <w:r>
        <w:t xml:space="preserve"> </w:t>
      </w:r>
    </w:p>
    <w:tbl>
      <w:tblPr>
        <w:tblStyle w:val="a"/>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2100"/>
        <w:gridCol w:w="4110"/>
        <w:gridCol w:w="1575"/>
      </w:tblGrid>
      <w:tr w:rsidR="002E5865">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Week</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Semester 1</w:t>
            </w:r>
          </w:p>
        </w:tc>
        <w:tc>
          <w:tcPr>
            <w:tcW w:w="41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Topic</w:t>
            </w:r>
          </w:p>
        </w:tc>
        <w:tc>
          <w:tcPr>
            <w:tcW w:w="15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pPr>
              <w:rPr>
                <w:b/>
              </w:rPr>
            </w:pPr>
            <w:proofErr w:type="spellStart"/>
            <w:r>
              <w:rPr>
                <w:b/>
              </w:rPr>
              <w:t>UbD</w:t>
            </w:r>
            <w:proofErr w:type="spellEnd"/>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r w:rsidR="00077BB1">
              <w:t>Safety</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2</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3</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r w:rsidR="00077BB1" w:rsidRPr="00077BB1">
              <w:t>Tools &amp; Equipment</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4</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5</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077BB1">
            <w:r w:rsidRPr="00077BB1">
              <w:t>Construction Industry Principles</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6</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077BB1">
            <w:r w:rsidRPr="00077BB1">
              <w:t>Construction Drawings &amp; Specifications</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7</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077BB1" w:rsidP="00077BB1">
            <w:r w:rsidRPr="00077BB1">
              <w:t>Plumbing Math</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8</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2E5865"/>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9</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pPr>
              <w:rPr>
                <w:b/>
              </w:rPr>
            </w:pPr>
            <w:r>
              <w:t xml:space="preserve"> </w:t>
            </w:r>
            <w:r>
              <w:rPr>
                <w:b/>
              </w:rPr>
              <w:t>(End of 1</w:t>
            </w:r>
            <w:r>
              <w:rPr>
                <w:b/>
                <w:vertAlign w:val="superscript"/>
              </w:rPr>
              <w:t>st</w:t>
            </w:r>
            <w:r>
              <w:rPr>
                <w:b/>
              </w:rPr>
              <w:t xml:space="preserve"> quarter)</w:t>
            </w:r>
          </w:p>
        </w:tc>
        <w:tc>
          <w:tcPr>
            <w:tcW w:w="4110" w:type="dxa"/>
            <w:tcBorders>
              <w:bottom w:val="single" w:sz="8" w:space="0" w:color="000000"/>
              <w:right w:val="single" w:sz="8" w:space="0" w:color="000000"/>
            </w:tcBorders>
            <w:tcMar>
              <w:top w:w="100" w:type="dxa"/>
              <w:left w:w="100" w:type="dxa"/>
              <w:bottom w:w="100" w:type="dxa"/>
              <w:right w:w="100" w:type="dxa"/>
            </w:tcMar>
          </w:tcPr>
          <w:p w:rsidR="00077BB1" w:rsidRPr="00077BB1" w:rsidRDefault="00077BB1" w:rsidP="00077BB1">
            <w:pPr>
              <w:rPr>
                <w:b/>
              </w:rPr>
            </w:pPr>
          </w:p>
          <w:p w:rsidR="002E5865" w:rsidRPr="00715ED3" w:rsidRDefault="00077BB1" w:rsidP="00077BB1">
            <w:r w:rsidRPr="00715ED3">
              <w:t xml:space="preserve"> Plastic Pipe &amp; Fittings</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Fall Break</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10</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077BB1" w:rsidP="00077BB1">
            <w:r w:rsidRPr="00077BB1">
              <w:t>Copper Tube &amp; Fittings</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11</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077BB1">
            <w:r w:rsidRPr="00077BB1">
              <w:t>Cast-Iron Pipe &amp; Fittings</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12</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077BB1">
            <w:r w:rsidRPr="00077BB1">
              <w:t xml:space="preserve">Carbon Steel Pipe &amp; Fittings  </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13</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077BB1">
            <w:r w:rsidRPr="00077BB1">
              <w:t>Plumbing Fixtures</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14</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077BB1">
            <w:r w:rsidRPr="00077BB1">
              <w:t>Drain, Waste, &amp; Vent (DWV) Systems</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15</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(Thanksgiving)</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077BB1">
            <w:r w:rsidRPr="00077BB1">
              <w:t>Water Distribution Systems</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16</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2E5865"/>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17</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077BB1">
            <w:r w:rsidRPr="00077BB1">
              <w:t>Basic Maintenance &amp; Repair Process</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lastRenderedPageBreak/>
              <w:t>18</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pPr>
              <w:rPr>
                <w:b/>
              </w:rPr>
            </w:pPr>
            <w:r>
              <w:t xml:space="preserve"> </w:t>
            </w:r>
            <w:r>
              <w:rPr>
                <w:b/>
              </w:rPr>
              <w:t>(End of Semester 1)</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077BB1">
            <w:r w:rsidRPr="00077BB1">
              <w:t>Green Practices in Plumbing</w:t>
            </w:r>
            <w:r>
              <w:t xml:space="preserve">, </w:t>
            </w:r>
            <w:r w:rsidRPr="00077BB1">
              <w:t>Business &amp; Project Management</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2100" w:type="dxa"/>
            <w:tcBorders>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 xml:space="preserve"> </w:t>
            </w:r>
          </w:p>
        </w:tc>
        <w:tc>
          <w:tcPr>
            <w:tcW w:w="4110"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15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bl>
    <w:p w:rsidR="002E5865" w:rsidRDefault="00715ED3">
      <w:r>
        <w:t xml:space="preserve"> </w:t>
      </w:r>
    </w:p>
    <w:tbl>
      <w:tblPr>
        <w:tblStyle w:val="a0"/>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1905"/>
        <w:gridCol w:w="4275"/>
        <w:gridCol w:w="1605"/>
      </w:tblGrid>
      <w:tr w:rsidR="002E5865">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Week</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Semester 2</w:t>
            </w:r>
          </w:p>
        </w:tc>
        <w:tc>
          <w:tcPr>
            <w:tcW w:w="42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Topic</w:t>
            </w:r>
          </w:p>
        </w:tc>
        <w:tc>
          <w:tcPr>
            <w:tcW w:w="16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pPr>
              <w:rPr>
                <w:b/>
              </w:rPr>
            </w:pPr>
            <w:proofErr w:type="spellStart"/>
            <w:r>
              <w:rPr>
                <w:b/>
              </w:rPr>
              <w:t>UbD</w:t>
            </w:r>
            <w:proofErr w:type="spellEnd"/>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safety</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2</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3</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rsidRPr="00715ED3">
              <w:t>Tools &amp; Equipment</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4</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5</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rsidRPr="00715ED3">
              <w:t>Construction Industry Principles</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6</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r w:rsidRPr="00715ED3">
              <w:t>Construction Drawings &amp; Specifications</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7</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rsidRPr="00715ED3">
              <w:t>Plumbing Math</w:t>
            </w:r>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8</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9</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rsidRPr="00715ED3">
              <w:t>Plastic Pipe &amp; Fittings</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10</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715ED3" w:rsidRDefault="00715ED3" w:rsidP="00715ED3">
            <w:r>
              <w:t>Copper Tube &amp; Fittings</w:t>
            </w:r>
          </w:p>
          <w:p w:rsidR="002E5865" w:rsidRDefault="002E5865" w:rsidP="00715ED3"/>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11</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pPr>
              <w:rPr>
                <w:b/>
              </w:rPr>
            </w:pPr>
            <w:r>
              <w:t xml:space="preserve"> </w:t>
            </w:r>
            <w:r>
              <w:rPr>
                <w:b/>
              </w:rPr>
              <w:t>(End of 3</w:t>
            </w:r>
            <w:r>
              <w:rPr>
                <w:b/>
                <w:vertAlign w:val="superscript"/>
              </w:rPr>
              <w:t>rd</w:t>
            </w:r>
            <w:r>
              <w:rPr>
                <w:b/>
              </w:rPr>
              <w:t xml:space="preserve"> quarter)</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rsidRPr="00715ED3">
              <w:t>Cast-Iron Pipe &amp; Fittings</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March</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Spring Break</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12</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rsidRPr="00715ED3">
              <w:t xml:space="preserve">Carbon Steel Pipe &amp; Fittings  </w:t>
            </w:r>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13</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Pr="00715ED3" w:rsidRDefault="00715ED3">
            <w:r w:rsidRPr="00715ED3">
              <w:t>Plumbing Fixtures</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14</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rsidRPr="00715ED3">
              <w:t>Drain, Waste, &amp; Vent (DWV) Systems</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15</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rsidRPr="00715ED3">
              <w:t>Water Distribution Systems</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16</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17</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rsidRPr="00715ED3">
              <w:t>Basic Maintenance &amp; Repair Process</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18</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rsidRPr="00715ED3">
              <w:t>Green Practices in Plumbing, Business &amp; Project Management</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lastRenderedPageBreak/>
              <w:t>19</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projects</w:t>
            </w:r>
            <w:bookmarkStart w:id="0" w:name="_GoBack"/>
            <w:bookmarkEnd w:id="0"/>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20</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May 22-26 (End of 4</w:t>
            </w:r>
            <w:r>
              <w:rPr>
                <w:b/>
                <w:vertAlign w:val="superscript"/>
              </w:rPr>
              <w:t>th</w:t>
            </w:r>
            <w:r>
              <w:rPr>
                <w:b/>
              </w:rPr>
              <w:t xml:space="preserve"> quarter)</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r w:rsidR="002E5865">
        <w:tc>
          <w:tcPr>
            <w:tcW w:w="1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1905" w:type="dxa"/>
            <w:tcBorders>
              <w:bottom w:val="single" w:sz="8" w:space="0" w:color="000000"/>
              <w:right w:val="single" w:sz="8" w:space="0" w:color="000000"/>
            </w:tcBorders>
            <w:tcMar>
              <w:top w:w="100" w:type="dxa"/>
              <w:left w:w="100" w:type="dxa"/>
              <w:bottom w:w="100" w:type="dxa"/>
              <w:right w:w="100" w:type="dxa"/>
            </w:tcMar>
          </w:tcPr>
          <w:p w:rsidR="002E5865" w:rsidRDefault="00715ED3">
            <w:pPr>
              <w:rPr>
                <w:b/>
              </w:rPr>
            </w:pPr>
            <w:r>
              <w:rPr>
                <w:b/>
              </w:rPr>
              <w:t xml:space="preserve"> </w:t>
            </w:r>
          </w:p>
        </w:tc>
        <w:tc>
          <w:tcPr>
            <w:tcW w:w="427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c>
          <w:tcPr>
            <w:tcW w:w="1605" w:type="dxa"/>
            <w:tcBorders>
              <w:bottom w:val="single" w:sz="8" w:space="0" w:color="000000"/>
              <w:right w:val="single" w:sz="8" w:space="0" w:color="000000"/>
            </w:tcBorders>
            <w:tcMar>
              <w:top w:w="100" w:type="dxa"/>
              <w:left w:w="100" w:type="dxa"/>
              <w:bottom w:w="100" w:type="dxa"/>
              <w:right w:w="100" w:type="dxa"/>
            </w:tcMar>
          </w:tcPr>
          <w:p w:rsidR="002E5865" w:rsidRDefault="00715ED3">
            <w:r>
              <w:t xml:space="preserve"> </w:t>
            </w:r>
          </w:p>
        </w:tc>
      </w:tr>
    </w:tbl>
    <w:p w:rsidR="002E5865" w:rsidRDefault="00715ED3">
      <w:r>
        <w:t xml:space="preserve"> </w:t>
      </w:r>
    </w:p>
    <w:sectPr w:rsidR="002E58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65"/>
    <w:rsid w:val="00002607"/>
    <w:rsid w:val="00077BB1"/>
    <w:rsid w:val="002E5865"/>
    <w:rsid w:val="00715ED3"/>
    <w:rsid w:val="00BB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7286"/>
  <w15:docId w15:val="{84C93009-99C3-4E42-A0B8-02F5BC77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Noblit Jack</dc:creator>
  <cp:lastModifiedBy>Noblit Jack</cp:lastModifiedBy>
  <cp:revision>3</cp:revision>
  <dcterms:created xsi:type="dcterms:W3CDTF">2017-08-23T14:32:00Z</dcterms:created>
  <dcterms:modified xsi:type="dcterms:W3CDTF">2017-08-23T14:42:00Z</dcterms:modified>
</cp:coreProperties>
</file>